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0B0B" w:rsidP="00335132" w:rsidRDefault="5383272C" w14:paraId="1D673454" w14:textId="235CB5A6">
      <w:pPr>
        <w:spacing w:after="0"/>
        <w:rPr>
          <w:rFonts w:ascii="Times New Roman" w:hAnsi="Times New Roman" w:eastAsia="Times New Roman" w:cs="Times New Roman"/>
          <w:sz w:val="24"/>
          <w:szCs w:val="24"/>
        </w:rPr>
      </w:pPr>
      <w:r w:rsidRPr="00335132">
        <w:rPr>
          <w:rFonts w:ascii="Times New Roman" w:hAnsi="Times New Roman" w:eastAsia="Times New Roman" w:cs="Times New Roman"/>
          <w:b/>
          <w:bCs/>
          <w:sz w:val="28"/>
          <w:szCs w:val="28"/>
        </w:rPr>
        <w:t xml:space="preserve">PROTOCOL TITLE: </w:t>
      </w:r>
      <w:r w:rsidRPr="00335132">
        <w:rPr>
          <w:rFonts w:ascii="Times New Roman" w:hAnsi="Times New Roman" w:eastAsia="Times New Roman" w:cs="Times New Roman"/>
          <w:sz w:val="24"/>
          <w:szCs w:val="24"/>
        </w:rPr>
        <w:t>Racial and Ethnic Disparities in the Timeliness of Nephrology Care for Patients with Chronic Kidney Disease</w:t>
      </w:r>
    </w:p>
    <w:p w:rsidR="00410B0B" w:rsidP="5383272C" w:rsidRDefault="5383272C" w14:paraId="2B46C1D6" w14:textId="37D6D598">
      <w:pPr>
        <w:spacing w:after="0"/>
      </w:pPr>
      <w:r w:rsidRPr="5383272C">
        <w:rPr>
          <w:rFonts w:ascii="Times New Roman" w:hAnsi="Times New Roman" w:eastAsia="Times New Roman" w:cs="Times New Roman"/>
          <w:color w:val="000000" w:themeColor="text1"/>
          <w:sz w:val="24"/>
          <w:szCs w:val="24"/>
        </w:rPr>
        <w:t xml:space="preserve"> </w:t>
      </w:r>
    </w:p>
    <w:p w:rsidR="00410B0B" w:rsidP="5383272C" w:rsidRDefault="5383272C" w14:paraId="49F1FC91" w14:textId="3224570F">
      <w:pPr>
        <w:spacing w:after="0"/>
      </w:pPr>
      <w:r w:rsidRPr="5383272C">
        <w:rPr>
          <w:rFonts w:ascii="Times New Roman" w:hAnsi="Times New Roman" w:eastAsia="Times New Roman" w:cs="Times New Roman"/>
          <w:b/>
          <w:bCs/>
          <w:color w:val="000000" w:themeColor="text1"/>
          <w:sz w:val="28"/>
          <w:szCs w:val="28"/>
        </w:rPr>
        <w:t>PRINCIPAL INVESTIGATOR:</w:t>
      </w:r>
    </w:p>
    <w:p w:rsidR="00410B0B" w:rsidP="5383272C" w:rsidRDefault="5383272C" w14:paraId="37066008" w14:textId="4C7A7C5C">
      <w:pPr>
        <w:spacing w:after="0"/>
      </w:pPr>
      <w:r w:rsidRPr="5383272C">
        <w:rPr>
          <w:rFonts w:ascii="Times New Roman" w:hAnsi="Times New Roman" w:eastAsia="Times New Roman" w:cs="Times New Roman"/>
          <w:color w:val="808080" w:themeColor="background1" w:themeShade="80"/>
          <w:sz w:val="24"/>
          <w:szCs w:val="24"/>
        </w:rPr>
        <w:t xml:space="preserve"> </w:t>
      </w:r>
    </w:p>
    <w:p w:rsidR="00410B0B" w:rsidP="5383272C" w:rsidRDefault="5383272C" w14:paraId="4D53F16F" w14:textId="7E327FE1">
      <w:pPr>
        <w:spacing w:after="0"/>
      </w:pPr>
      <w:r w:rsidRPr="5383272C">
        <w:rPr>
          <w:rFonts w:ascii="Times New Roman" w:hAnsi="Times New Roman" w:eastAsia="Times New Roman" w:cs="Times New Roman"/>
          <w:color w:val="000000" w:themeColor="text1"/>
          <w:sz w:val="24"/>
          <w:szCs w:val="24"/>
        </w:rPr>
        <w:t>Jessica Galarraga, MD, MPH</w:t>
      </w:r>
    </w:p>
    <w:p w:rsidR="00410B0B" w:rsidP="5383272C" w:rsidRDefault="5383272C" w14:paraId="51D4DA41" w14:textId="778B0AE1">
      <w:pPr>
        <w:spacing w:after="0"/>
      </w:pPr>
      <w:r w:rsidRPr="5383272C">
        <w:rPr>
          <w:rFonts w:ascii="Times New Roman" w:hAnsi="Times New Roman" w:eastAsia="Times New Roman" w:cs="Times New Roman"/>
          <w:color w:val="000000" w:themeColor="text1"/>
          <w:sz w:val="24"/>
          <w:szCs w:val="24"/>
        </w:rPr>
        <w:t>Medstar Health Research Institute: Healthcare Delivery Research</w:t>
      </w:r>
    </w:p>
    <w:p w:rsidR="00410B0B" w:rsidP="5383272C" w:rsidRDefault="5383272C" w14:paraId="5F30AD21" w14:textId="3DBA0D93">
      <w:pPr>
        <w:spacing w:after="0"/>
      </w:pPr>
      <w:r w:rsidRPr="5383272C">
        <w:rPr>
          <w:rFonts w:ascii="Times New Roman" w:hAnsi="Times New Roman" w:eastAsia="Times New Roman" w:cs="Times New Roman"/>
          <w:color w:val="000000" w:themeColor="text1"/>
          <w:sz w:val="24"/>
          <w:szCs w:val="24"/>
        </w:rPr>
        <w:t>240-463-4724</w:t>
      </w:r>
    </w:p>
    <w:p w:rsidR="00410B0B" w:rsidP="5383272C" w:rsidRDefault="000623EF" w14:paraId="0D68003D" w14:textId="34EB3483">
      <w:pPr>
        <w:spacing w:after="0"/>
      </w:pPr>
      <w:hyperlink r:id="rId7">
        <w:r w:rsidRPr="5383272C" w:rsidR="5383272C">
          <w:rPr>
            <w:rStyle w:val="Hyperlink"/>
            <w:rFonts w:ascii="Times New Roman" w:hAnsi="Times New Roman" w:eastAsia="Times New Roman" w:cs="Times New Roman"/>
            <w:sz w:val="24"/>
            <w:szCs w:val="24"/>
          </w:rPr>
          <w:t>jessica.e.galarraga@medstar.net</w:t>
        </w:r>
      </w:hyperlink>
    </w:p>
    <w:p w:rsidR="00410B0B" w:rsidP="5383272C" w:rsidRDefault="5383272C" w14:paraId="7AB624F5" w14:textId="29F0D924">
      <w:pPr>
        <w:spacing w:after="0"/>
      </w:pPr>
      <w:r w:rsidRPr="5383272C">
        <w:rPr>
          <w:rFonts w:ascii="Times New Roman" w:hAnsi="Times New Roman" w:eastAsia="Times New Roman" w:cs="Times New Roman"/>
          <w:color w:val="000000" w:themeColor="text1"/>
          <w:sz w:val="24"/>
          <w:szCs w:val="24"/>
        </w:rPr>
        <w:t xml:space="preserve"> </w:t>
      </w:r>
    </w:p>
    <w:p w:rsidR="00410B0B" w:rsidP="1F9C4660" w:rsidRDefault="5383272C" w14:paraId="65275599" w14:textId="2ACECDB7">
      <w:pPr>
        <w:spacing w:after="0"/>
        <w:rPr>
          <w:rFonts w:ascii="Times New Roman" w:hAnsi="Times New Roman" w:eastAsia="Times New Roman" w:cs="Times New Roman"/>
          <w:b/>
          <w:bCs/>
          <w:color w:val="000000" w:themeColor="text1"/>
          <w:sz w:val="28"/>
          <w:szCs w:val="28"/>
        </w:rPr>
      </w:pPr>
      <w:r w:rsidRPr="1F9C4660">
        <w:rPr>
          <w:rFonts w:ascii="Times New Roman" w:hAnsi="Times New Roman" w:eastAsia="Times New Roman" w:cs="Times New Roman"/>
          <w:b/>
          <w:bCs/>
          <w:color w:val="000000" w:themeColor="text1"/>
          <w:sz w:val="28"/>
          <w:szCs w:val="28"/>
        </w:rPr>
        <w:t>VERSION NUMBER/DATE:</w:t>
      </w:r>
    </w:p>
    <w:p w:rsidR="00410B0B" w:rsidP="1F9C4660" w:rsidRDefault="00335132" w14:paraId="58630056" w14:textId="463B3D35">
      <w:pPr>
        <w:pStyle w:val="ListParagraph"/>
        <w:numPr>
          <w:ilvl w:val="0"/>
          <w:numId w:val="13"/>
        </w:numPr>
        <w:spacing w:after="0"/>
        <w:rPr>
          <w:rFonts w:ascii="Times New Roman" w:hAnsi="Times New Roman" w:eastAsia="Times New Roman" w:cs="Times New Roman"/>
        </w:rPr>
      </w:pPr>
      <w:r w:rsidRPr="35A31DE5" w:rsidR="6B875B36">
        <w:rPr>
          <w:rFonts w:ascii="Times New Roman" w:hAnsi="Times New Roman" w:eastAsia="Times New Roman" w:cs="Times New Roman"/>
        </w:rPr>
        <w:t>July 13, 2022</w:t>
      </w:r>
    </w:p>
    <w:p w:rsidR="00410B0B" w:rsidP="5383272C" w:rsidRDefault="5383272C" w14:paraId="45D0CFCB" w14:textId="2613582B">
      <w:pPr>
        <w:spacing w:after="0"/>
      </w:pPr>
      <w:r w:rsidRPr="5383272C">
        <w:rPr>
          <w:rFonts w:ascii="Times New Roman" w:hAnsi="Times New Roman" w:eastAsia="Times New Roman" w:cs="Times New Roman"/>
          <w:i/>
          <w:iCs/>
          <w:color w:val="000000" w:themeColor="text1"/>
          <w:sz w:val="24"/>
          <w:szCs w:val="24"/>
        </w:rPr>
        <w:t xml:space="preserve"> </w:t>
      </w:r>
    </w:p>
    <w:p w:rsidR="00410B0B" w:rsidP="5383272C" w:rsidRDefault="5383272C" w14:paraId="075B0EEE" w14:textId="7986470B">
      <w:pPr>
        <w:spacing w:after="0"/>
      </w:pPr>
      <w:r w:rsidRPr="5383272C">
        <w:rPr>
          <w:rFonts w:ascii="Times New Roman" w:hAnsi="Times New Roman" w:eastAsia="Times New Roman" w:cs="Times New Roman"/>
          <w:b/>
          <w:bCs/>
          <w:color w:val="000000" w:themeColor="text1"/>
          <w:sz w:val="28"/>
          <w:szCs w:val="28"/>
        </w:rPr>
        <w:t>REVISION HISTORY</w:t>
      </w:r>
    </w:p>
    <w:p w:rsidR="00410B0B" w:rsidP="5383272C" w:rsidRDefault="5383272C" w14:paraId="6B36F53E" w14:textId="7E9AA1EB">
      <w:pPr>
        <w:spacing w:after="0"/>
      </w:pPr>
      <w:r w:rsidRPr="5383272C">
        <w:rPr>
          <w:rFonts w:ascii="Calibri" w:hAnsi="Calibri" w:eastAsia="Calibri" w:cs="Calibri"/>
          <w:sz w:val="24"/>
          <w:szCs w:val="24"/>
        </w:rPr>
        <w:t xml:space="preserve"> </w:t>
      </w:r>
    </w:p>
    <w:tbl>
      <w:tblPr>
        <w:tblW w:w="0" w:type="auto"/>
        <w:tblLayout w:type="fixed"/>
        <w:tblLook w:val="0400" w:firstRow="0" w:lastRow="0" w:firstColumn="0" w:lastColumn="0" w:noHBand="0" w:noVBand="1"/>
      </w:tblPr>
      <w:tblGrid>
        <w:gridCol w:w="1215"/>
        <w:gridCol w:w="1545"/>
        <w:gridCol w:w="4800"/>
        <w:gridCol w:w="1290"/>
      </w:tblGrid>
      <w:tr w:rsidR="5383272C" w:rsidTr="5383272C" w14:paraId="44BCBFEA" w14:textId="77777777">
        <w:tc>
          <w:tcPr>
            <w:tcW w:w="12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383272C" w:rsidP="5383272C" w:rsidRDefault="5383272C" w14:paraId="0F8AD703" w14:textId="66A1872C">
            <w:pPr>
              <w:spacing w:after="0"/>
            </w:pPr>
            <w:r w:rsidRPr="5383272C">
              <w:rPr>
                <w:rFonts w:ascii="Times New Roman" w:hAnsi="Times New Roman" w:eastAsia="Times New Roman" w:cs="Times New Roman"/>
                <w:b/>
                <w:bCs/>
                <w:sz w:val="24"/>
                <w:szCs w:val="24"/>
              </w:rPr>
              <w:t>Revision #</w:t>
            </w:r>
          </w:p>
        </w:tc>
        <w:tc>
          <w:tcPr>
            <w:tcW w:w="15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383272C" w:rsidP="5383272C" w:rsidRDefault="5383272C" w14:paraId="24C82EF7" w14:textId="3ACDC7EE">
            <w:pPr>
              <w:spacing w:after="0"/>
            </w:pPr>
            <w:r w:rsidRPr="5383272C">
              <w:rPr>
                <w:rFonts w:ascii="Times New Roman" w:hAnsi="Times New Roman" w:eastAsia="Times New Roman" w:cs="Times New Roman"/>
                <w:b/>
                <w:bCs/>
                <w:sz w:val="24"/>
                <w:szCs w:val="24"/>
              </w:rPr>
              <w:t>Version Date</w:t>
            </w:r>
          </w:p>
        </w:tc>
        <w:tc>
          <w:tcPr>
            <w:tcW w:w="4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383272C" w:rsidP="5383272C" w:rsidRDefault="5383272C" w14:paraId="124BF79D" w14:textId="303D50BD">
            <w:pPr>
              <w:spacing w:after="0"/>
            </w:pPr>
            <w:r w:rsidRPr="5383272C">
              <w:rPr>
                <w:rFonts w:ascii="Times New Roman" w:hAnsi="Times New Roman" w:eastAsia="Times New Roman" w:cs="Times New Roman"/>
                <w:b/>
                <w:bCs/>
                <w:sz w:val="24"/>
                <w:szCs w:val="24"/>
              </w:rPr>
              <w:t>Summary of Changes</w:t>
            </w:r>
          </w:p>
        </w:tc>
        <w:tc>
          <w:tcPr>
            <w:tcW w:w="12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383272C" w:rsidP="5383272C" w:rsidRDefault="5383272C" w14:paraId="4A4B788A" w14:textId="27C2A6E8">
            <w:pPr>
              <w:spacing w:after="0"/>
            </w:pPr>
            <w:r w:rsidRPr="5383272C">
              <w:rPr>
                <w:rFonts w:ascii="Times New Roman" w:hAnsi="Times New Roman" w:eastAsia="Times New Roman" w:cs="Times New Roman"/>
                <w:b/>
                <w:bCs/>
                <w:sz w:val="24"/>
                <w:szCs w:val="24"/>
              </w:rPr>
              <w:t>Consent Change?</w:t>
            </w:r>
          </w:p>
        </w:tc>
      </w:tr>
      <w:tr w:rsidR="5383272C" w:rsidTr="5383272C" w14:paraId="2CC2DA2E" w14:textId="77777777">
        <w:tc>
          <w:tcPr>
            <w:tcW w:w="12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383272C" w:rsidP="5383272C" w:rsidRDefault="5383272C" w14:paraId="30E75A06" w14:textId="0ABC5A67">
            <w:pPr>
              <w:spacing w:after="0"/>
            </w:pPr>
            <w:r w:rsidRPr="5383272C">
              <w:rPr>
                <w:sz w:val="24"/>
                <w:szCs w:val="24"/>
              </w:rPr>
              <w:t xml:space="preserve"> </w:t>
            </w:r>
          </w:p>
        </w:tc>
        <w:tc>
          <w:tcPr>
            <w:tcW w:w="15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383272C" w:rsidP="5383272C" w:rsidRDefault="5383272C" w14:paraId="73D573CF" w14:textId="3179D172">
            <w:pPr>
              <w:spacing w:after="0"/>
            </w:pPr>
            <w:r w:rsidRPr="5383272C">
              <w:rPr>
                <w:sz w:val="24"/>
                <w:szCs w:val="24"/>
              </w:rPr>
              <w:t xml:space="preserve"> </w:t>
            </w:r>
          </w:p>
        </w:tc>
        <w:tc>
          <w:tcPr>
            <w:tcW w:w="4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383272C" w:rsidP="5383272C" w:rsidRDefault="5383272C" w14:paraId="33EFD49E" w14:textId="73EC0ECE">
            <w:pPr>
              <w:spacing w:after="0"/>
            </w:pPr>
            <w:r w:rsidRPr="5383272C">
              <w:rPr>
                <w:sz w:val="24"/>
                <w:szCs w:val="24"/>
              </w:rPr>
              <w:t xml:space="preserve"> </w:t>
            </w:r>
          </w:p>
        </w:tc>
        <w:tc>
          <w:tcPr>
            <w:tcW w:w="12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383272C" w:rsidP="5383272C" w:rsidRDefault="5383272C" w14:paraId="456E4C34" w14:textId="3F48D28D">
            <w:pPr>
              <w:spacing w:after="0"/>
            </w:pPr>
            <w:r w:rsidRPr="5383272C">
              <w:rPr>
                <w:sz w:val="24"/>
                <w:szCs w:val="24"/>
              </w:rPr>
              <w:t xml:space="preserve"> </w:t>
            </w:r>
          </w:p>
        </w:tc>
      </w:tr>
      <w:tr w:rsidR="5383272C" w:rsidTr="5383272C" w14:paraId="5E4AE06C" w14:textId="77777777">
        <w:tc>
          <w:tcPr>
            <w:tcW w:w="12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383272C" w:rsidP="5383272C" w:rsidRDefault="5383272C" w14:paraId="0EA979DB" w14:textId="1232CC52">
            <w:pPr>
              <w:spacing w:after="0"/>
            </w:pPr>
            <w:r w:rsidRPr="5383272C">
              <w:rPr>
                <w:sz w:val="24"/>
                <w:szCs w:val="24"/>
              </w:rPr>
              <w:t xml:space="preserve"> </w:t>
            </w:r>
          </w:p>
        </w:tc>
        <w:tc>
          <w:tcPr>
            <w:tcW w:w="15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383272C" w:rsidP="5383272C" w:rsidRDefault="5383272C" w14:paraId="37546E0B" w14:textId="69DFBFC9">
            <w:pPr>
              <w:spacing w:after="0"/>
            </w:pPr>
            <w:r w:rsidRPr="5383272C">
              <w:rPr>
                <w:sz w:val="24"/>
                <w:szCs w:val="24"/>
              </w:rPr>
              <w:t xml:space="preserve"> </w:t>
            </w:r>
          </w:p>
        </w:tc>
        <w:tc>
          <w:tcPr>
            <w:tcW w:w="4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383272C" w:rsidP="5383272C" w:rsidRDefault="5383272C" w14:paraId="220488A3" w14:textId="1BF1FC9D">
            <w:pPr>
              <w:spacing w:after="0"/>
            </w:pPr>
            <w:r w:rsidRPr="5383272C">
              <w:rPr>
                <w:sz w:val="24"/>
                <w:szCs w:val="24"/>
              </w:rPr>
              <w:t xml:space="preserve"> </w:t>
            </w:r>
          </w:p>
        </w:tc>
        <w:tc>
          <w:tcPr>
            <w:tcW w:w="12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383272C" w:rsidP="5383272C" w:rsidRDefault="5383272C" w14:paraId="119C99C8" w14:textId="199AD884">
            <w:pPr>
              <w:spacing w:after="0"/>
            </w:pPr>
            <w:r w:rsidRPr="5383272C">
              <w:rPr>
                <w:sz w:val="24"/>
                <w:szCs w:val="24"/>
              </w:rPr>
              <w:t xml:space="preserve"> </w:t>
            </w:r>
          </w:p>
        </w:tc>
      </w:tr>
      <w:tr w:rsidR="5383272C" w:rsidTr="5383272C" w14:paraId="63A2F322" w14:textId="77777777">
        <w:tc>
          <w:tcPr>
            <w:tcW w:w="12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383272C" w:rsidP="5383272C" w:rsidRDefault="5383272C" w14:paraId="2776B739" w14:textId="184F01AC">
            <w:pPr>
              <w:spacing w:after="0"/>
            </w:pPr>
            <w:r w:rsidRPr="5383272C">
              <w:rPr>
                <w:sz w:val="24"/>
                <w:szCs w:val="24"/>
              </w:rPr>
              <w:t xml:space="preserve"> </w:t>
            </w:r>
          </w:p>
        </w:tc>
        <w:tc>
          <w:tcPr>
            <w:tcW w:w="15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383272C" w:rsidP="5383272C" w:rsidRDefault="5383272C" w14:paraId="23D2BFEB" w14:textId="4104B17E">
            <w:pPr>
              <w:spacing w:after="0"/>
            </w:pPr>
            <w:r w:rsidRPr="5383272C">
              <w:rPr>
                <w:sz w:val="24"/>
                <w:szCs w:val="24"/>
              </w:rPr>
              <w:t xml:space="preserve"> </w:t>
            </w:r>
          </w:p>
        </w:tc>
        <w:tc>
          <w:tcPr>
            <w:tcW w:w="4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383272C" w:rsidP="5383272C" w:rsidRDefault="5383272C" w14:paraId="7E6C184C" w14:textId="0DB0DFE4">
            <w:pPr>
              <w:spacing w:after="0"/>
            </w:pPr>
            <w:r w:rsidRPr="5383272C">
              <w:rPr>
                <w:sz w:val="24"/>
                <w:szCs w:val="24"/>
              </w:rPr>
              <w:t xml:space="preserve"> </w:t>
            </w:r>
          </w:p>
        </w:tc>
        <w:tc>
          <w:tcPr>
            <w:tcW w:w="12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383272C" w:rsidP="5383272C" w:rsidRDefault="5383272C" w14:paraId="2FE34CF5" w14:textId="7176EA3A">
            <w:pPr>
              <w:spacing w:after="0"/>
            </w:pPr>
            <w:r w:rsidRPr="5383272C">
              <w:rPr>
                <w:sz w:val="24"/>
                <w:szCs w:val="24"/>
              </w:rPr>
              <w:t xml:space="preserve"> </w:t>
            </w:r>
          </w:p>
        </w:tc>
      </w:tr>
      <w:tr w:rsidR="5383272C" w:rsidTr="5383272C" w14:paraId="532CFADD" w14:textId="77777777">
        <w:tc>
          <w:tcPr>
            <w:tcW w:w="12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383272C" w:rsidP="5383272C" w:rsidRDefault="5383272C" w14:paraId="73972243" w14:textId="18EDCDF4">
            <w:pPr>
              <w:spacing w:after="0"/>
            </w:pPr>
            <w:r w:rsidRPr="5383272C">
              <w:rPr>
                <w:sz w:val="24"/>
                <w:szCs w:val="24"/>
              </w:rPr>
              <w:t xml:space="preserve"> </w:t>
            </w:r>
          </w:p>
        </w:tc>
        <w:tc>
          <w:tcPr>
            <w:tcW w:w="15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383272C" w:rsidP="5383272C" w:rsidRDefault="5383272C" w14:paraId="3F4B4C28" w14:textId="1EE22CC7">
            <w:pPr>
              <w:spacing w:after="0"/>
            </w:pPr>
            <w:r w:rsidRPr="5383272C">
              <w:rPr>
                <w:sz w:val="24"/>
                <w:szCs w:val="24"/>
              </w:rPr>
              <w:t xml:space="preserve"> </w:t>
            </w:r>
          </w:p>
        </w:tc>
        <w:tc>
          <w:tcPr>
            <w:tcW w:w="4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383272C" w:rsidP="5383272C" w:rsidRDefault="5383272C" w14:paraId="30F9481E" w14:textId="7F0B934F">
            <w:pPr>
              <w:spacing w:after="0"/>
            </w:pPr>
            <w:r w:rsidRPr="5383272C">
              <w:rPr>
                <w:sz w:val="24"/>
                <w:szCs w:val="24"/>
              </w:rPr>
              <w:t xml:space="preserve"> </w:t>
            </w:r>
          </w:p>
        </w:tc>
        <w:tc>
          <w:tcPr>
            <w:tcW w:w="12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383272C" w:rsidP="5383272C" w:rsidRDefault="5383272C" w14:paraId="2196CDFE" w14:textId="43903A82">
            <w:pPr>
              <w:spacing w:after="0"/>
            </w:pPr>
            <w:r w:rsidRPr="5383272C">
              <w:rPr>
                <w:sz w:val="24"/>
                <w:szCs w:val="24"/>
              </w:rPr>
              <w:t xml:space="preserve"> </w:t>
            </w:r>
          </w:p>
        </w:tc>
      </w:tr>
      <w:tr w:rsidR="5383272C" w:rsidTr="5383272C" w14:paraId="6F3B22BF" w14:textId="77777777">
        <w:tc>
          <w:tcPr>
            <w:tcW w:w="12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383272C" w:rsidP="5383272C" w:rsidRDefault="5383272C" w14:paraId="63BFCE7F" w14:textId="3A3D4924">
            <w:pPr>
              <w:spacing w:after="0"/>
            </w:pPr>
            <w:r w:rsidRPr="5383272C">
              <w:rPr>
                <w:sz w:val="24"/>
                <w:szCs w:val="24"/>
              </w:rPr>
              <w:t xml:space="preserve"> </w:t>
            </w:r>
          </w:p>
        </w:tc>
        <w:tc>
          <w:tcPr>
            <w:tcW w:w="15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383272C" w:rsidP="5383272C" w:rsidRDefault="5383272C" w14:paraId="58645BD6" w14:textId="58698370">
            <w:pPr>
              <w:spacing w:after="0"/>
            </w:pPr>
            <w:r w:rsidRPr="5383272C">
              <w:rPr>
                <w:sz w:val="24"/>
                <w:szCs w:val="24"/>
              </w:rPr>
              <w:t xml:space="preserve"> </w:t>
            </w:r>
          </w:p>
        </w:tc>
        <w:tc>
          <w:tcPr>
            <w:tcW w:w="4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383272C" w:rsidP="5383272C" w:rsidRDefault="5383272C" w14:paraId="2949FA1E" w14:textId="6023C436">
            <w:pPr>
              <w:spacing w:after="0"/>
            </w:pPr>
            <w:r w:rsidRPr="5383272C">
              <w:rPr>
                <w:sz w:val="24"/>
                <w:szCs w:val="24"/>
              </w:rPr>
              <w:t xml:space="preserve"> </w:t>
            </w:r>
          </w:p>
        </w:tc>
        <w:tc>
          <w:tcPr>
            <w:tcW w:w="12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383272C" w:rsidP="5383272C" w:rsidRDefault="5383272C" w14:paraId="2857B7D4" w14:textId="491B80E4">
            <w:pPr>
              <w:spacing w:after="0"/>
            </w:pPr>
            <w:r w:rsidRPr="5383272C">
              <w:rPr>
                <w:sz w:val="24"/>
                <w:szCs w:val="24"/>
              </w:rPr>
              <w:t xml:space="preserve"> </w:t>
            </w:r>
          </w:p>
        </w:tc>
      </w:tr>
    </w:tbl>
    <w:p w:rsidR="00410B0B" w:rsidP="5383272C" w:rsidRDefault="5383272C" w14:paraId="5031AE5A" w14:textId="7350D012">
      <w:pPr>
        <w:spacing w:after="0"/>
      </w:pPr>
      <w:r w:rsidRPr="5383272C">
        <w:rPr>
          <w:rFonts w:ascii="Calibri" w:hAnsi="Calibri" w:eastAsia="Calibri" w:cs="Calibri"/>
          <w:sz w:val="24"/>
          <w:szCs w:val="24"/>
        </w:rPr>
        <w:t xml:space="preserve"> </w:t>
      </w:r>
    </w:p>
    <w:p w:rsidR="00410B0B" w:rsidP="5383272C" w:rsidRDefault="00733427" w14:paraId="16FA57E1" w14:textId="79EC4165">
      <w:pPr>
        <w:spacing w:after="0"/>
      </w:pPr>
      <w:r>
        <w:br/>
      </w:r>
    </w:p>
    <w:p w:rsidR="00410B0B" w:rsidP="5383272C" w:rsidRDefault="5383272C" w14:paraId="52F69F2E" w14:textId="2D86AD15">
      <w:pPr>
        <w:spacing w:after="0"/>
      </w:pPr>
      <w:r w:rsidRPr="5383272C">
        <w:rPr>
          <w:rFonts w:ascii="Cambria" w:hAnsi="Cambria" w:eastAsia="Cambria" w:cs="Cambria"/>
          <w:b/>
          <w:bCs/>
          <w:i/>
          <w:iCs/>
          <w:color w:val="365F91"/>
          <w:sz w:val="28"/>
          <w:szCs w:val="28"/>
        </w:rPr>
        <w:t xml:space="preserve"> </w:t>
      </w:r>
    </w:p>
    <w:p w:rsidR="00410B0B" w:rsidP="5383272C" w:rsidRDefault="00410B0B" w14:paraId="59D51DB1" w14:textId="70794200">
      <w:pPr>
        <w:spacing w:after="0"/>
        <w:rPr>
          <w:rFonts w:ascii="Cambria" w:hAnsi="Cambria" w:eastAsia="Cambria" w:cs="Cambria"/>
          <w:b/>
          <w:bCs/>
          <w:i/>
          <w:iCs/>
          <w:color w:val="365F91"/>
          <w:sz w:val="28"/>
          <w:szCs w:val="28"/>
        </w:rPr>
      </w:pPr>
    </w:p>
    <w:p w:rsidR="00410B0B" w:rsidP="5383272C" w:rsidRDefault="00410B0B" w14:paraId="1427B8D6" w14:textId="59B226B5">
      <w:pPr>
        <w:spacing w:after="0"/>
        <w:rPr>
          <w:rFonts w:ascii="Cambria" w:hAnsi="Cambria" w:eastAsia="Cambria" w:cs="Cambria"/>
          <w:b/>
          <w:bCs/>
          <w:i/>
          <w:iCs/>
          <w:color w:val="365F91"/>
          <w:sz w:val="28"/>
          <w:szCs w:val="28"/>
        </w:rPr>
      </w:pPr>
    </w:p>
    <w:p w:rsidR="00410B0B" w:rsidP="5383272C" w:rsidRDefault="00410B0B" w14:paraId="2E576045" w14:textId="0EB0351F">
      <w:pPr>
        <w:spacing w:after="0"/>
        <w:rPr>
          <w:rFonts w:ascii="Cambria" w:hAnsi="Cambria" w:eastAsia="Cambria" w:cs="Cambria"/>
          <w:b/>
          <w:bCs/>
          <w:i/>
          <w:iCs/>
          <w:color w:val="365F91"/>
          <w:sz w:val="28"/>
          <w:szCs w:val="28"/>
        </w:rPr>
      </w:pPr>
    </w:p>
    <w:p w:rsidR="00410B0B" w:rsidP="5383272C" w:rsidRDefault="00410B0B" w14:paraId="32C58678" w14:textId="075198FC">
      <w:pPr>
        <w:spacing w:after="0"/>
        <w:rPr>
          <w:rFonts w:ascii="Cambria" w:hAnsi="Cambria" w:eastAsia="Cambria" w:cs="Cambria"/>
          <w:b/>
          <w:bCs/>
          <w:i/>
          <w:iCs/>
          <w:color w:val="365F91"/>
          <w:sz w:val="28"/>
          <w:szCs w:val="28"/>
        </w:rPr>
      </w:pPr>
    </w:p>
    <w:p w:rsidR="00410B0B" w:rsidP="5383272C" w:rsidRDefault="00410B0B" w14:paraId="3E9434E2" w14:textId="06B02AE3">
      <w:pPr>
        <w:spacing w:after="0"/>
        <w:rPr>
          <w:rFonts w:ascii="Cambria" w:hAnsi="Cambria" w:eastAsia="Cambria" w:cs="Cambria"/>
          <w:b/>
          <w:bCs/>
          <w:i/>
          <w:iCs/>
          <w:color w:val="365F91"/>
          <w:sz w:val="28"/>
          <w:szCs w:val="28"/>
        </w:rPr>
      </w:pPr>
    </w:p>
    <w:p w:rsidR="00410B0B" w:rsidP="5383272C" w:rsidRDefault="00410B0B" w14:paraId="2769F838" w14:textId="04675902">
      <w:pPr>
        <w:spacing w:after="0"/>
        <w:rPr>
          <w:rFonts w:ascii="Cambria" w:hAnsi="Cambria" w:eastAsia="Cambria" w:cs="Cambria"/>
          <w:b/>
          <w:bCs/>
          <w:i/>
          <w:iCs/>
          <w:color w:val="365F91"/>
          <w:sz w:val="28"/>
          <w:szCs w:val="28"/>
        </w:rPr>
      </w:pPr>
    </w:p>
    <w:p w:rsidR="00410B0B" w:rsidP="5383272C" w:rsidRDefault="00410B0B" w14:paraId="33D04AE5" w14:textId="0B5BE6D4">
      <w:pPr>
        <w:spacing w:after="0"/>
        <w:rPr>
          <w:rFonts w:ascii="Cambria" w:hAnsi="Cambria" w:eastAsia="Cambria" w:cs="Cambria"/>
          <w:b/>
          <w:bCs/>
          <w:i/>
          <w:iCs/>
          <w:color w:val="365F91"/>
          <w:sz w:val="28"/>
          <w:szCs w:val="28"/>
        </w:rPr>
      </w:pPr>
    </w:p>
    <w:p w:rsidR="00410B0B" w:rsidP="5383272C" w:rsidRDefault="00410B0B" w14:paraId="771862C9" w14:textId="14CD30EF">
      <w:pPr>
        <w:spacing w:after="0"/>
        <w:rPr>
          <w:rFonts w:ascii="Cambria" w:hAnsi="Cambria" w:eastAsia="Cambria" w:cs="Cambria"/>
          <w:b/>
          <w:bCs/>
          <w:i/>
          <w:iCs/>
          <w:color w:val="365F91"/>
          <w:sz w:val="28"/>
          <w:szCs w:val="28"/>
        </w:rPr>
      </w:pPr>
    </w:p>
    <w:p w:rsidR="00410B0B" w:rsidP="5383272C" w:rsidRDefault="00410B0B" w14:paraId="3BEAF695" w14:textId="2AC5C4BC">
      <w:pPr>
        <w:spacing w:after="0"/>
        <w:rPr>
          <w:rFonts w:ascii="Cambria" w:hAnsi="Cambria" w:eastAsia="Cambria" w:cs="Cambria"/>
          <w:b/>
          <w:bCs/>
          <w:i/>
          <w:iCs/>
          <w:color w:val="365F91"/>
          <w:sz w:val="28"/>
          <w:szCs w:val="28"/>
        </w:rPr>
      </w:pPr>
    </w:p>
    <w:p w:rsidR="00410B0B" w:rsidP="5383272C" w:rsidRDefault="00410B0B" w14:paraId="7896F178" w14:textId="05B6422E">
      <w:pPr>
        <w:spacing w:after="0"/>
        <w:rPr>
          <w:rFonts w:ascii="Cambria" w:hAnsi="Cambria" w:eastAsia="Cambria" w:cs="Cambria"/>
          <w:b/>
          <w:bCs/>
          <w:i/>
          <w:iCs/>
          <w:color w:val="365F91"/>
          <w:sz w:val="28"/>
          <w:szCs w:val="28"/>
        </w:rPr>
      </w:pPr>
    </w:p>
    <w:p w:rsidR="00410B0B" w:rsidP="5383272C" w:rsidRDefault="00410B0B" w14:paraId="18193E33" w14:textId="6A8FBB37">
      <w:pPr>
        <w:spacing w:after="0"/>
        <w:rPr>
          <w:rFonts w:ascii="Cambria" w:hAnsi="Cambria" w:eastAsia="Cambria" w:cs="Cambria"/>
          <w:b/>
          <w:bCs/>
          <w:i/>
          <w:iCs/>
          <w:color w:val="365F91"/>
          <w:sz w:val="28"/>
          <w:szCs w:val="28"/>
        </w:rPr>
      </w:pPr>
    </w:p>
    <w:p w:rsidR="00410B0B" w:rsidP="5383272C" w:rsidRDefault="00410B0B" w14:paraId="08312F9D" w14:textId="22AE3CCD">
      <w:pPr>
        <w:spacing w:after="0"/>
        <w:rPr>
          <w:rFonts w:ascii="Cambria" w:hAnsi="Cambria" w:eastAsia="Cambria" w:cs="Cambria"/>
          <w:b/>
          <w:bCs/>
          <w:i/>
          <w:iCs/>
          <w:color w:val="365F91"/>
          <w:sz w:val="28"/>
          <w:szCs w:val="28"/>
        </w:rPr>
      </w:pPr>
    </w:p>
    <w:p w:rsidR="00410B0B" w:rsidP="5383272C" w:rsidRDefault="00410B0B" w14:paraId="175EE4BB" w14:textId="2DA783B0">
      <w:pPr>
        <w:spacing w:after="0"/>
        <w:rPr>
          <w:rFonts w:ascii="Cambria" w:hAnsi="Cambria" w:eastAsia="Cambria" w:cs="Cambria"/>
          <w:b/>
          <w:bCs/>
          <w:i/>
          <w:iCs/>
          <w:color w:val="365F91"/>
          <w:sz w:val="28"/>
          <w:szCs w:val="28"/>
        </w:rPr>
      </w:pPr>
    </w:p>
    <w:p w:rsidR="00410B0B" w:rsidP="5383272C" w:rsidRDefault="00410B0B" w14:paraId="59521C00" w14:textId="487E49D2">
      <w:pPr>
        <w:spacing w:after="0"/>
        <w:rPr>
          <w:rFonts w:ascii="Cambria" w:hAnsi="Cambria" w:eastAsia="Cambria" w:cs="Cambria"/>
          <w:b/>
          <w:bCs/>
          <w:i/>
          <w:iCs/>
          <w:color w:val="365F91"/>
          <w:sz w:val="28"/>
          <w:szCs w:val="28"/>
        </w:rPr>
      </w:pPr>
    </w:p>
    <w:p w:rsidR="00410B0B" w:rsidP="5383272C" w:rsidRDefault="00410B0B" w14:paraId="737EBD99" w14:textId="372B040B">
      <w:pPr>
        <w:spacing w:after="0"/>
        <w:rPr>
          <w:rFonts w:ascii="Cambria" w:hAnsi="Cambria" w:eastAsia="Cambria" w:cs="Cambria"/>
          <w:b/>
          <w:bCs/>
          <w:i/>
          <w:iCs/>
          <w:color w:val="365F91"/>
          <w:sz w:val="28"/>
          <w:szCs w:val="28"/>
        </w:rPr>
      </w:pPr>
    </w:p>
    <w:p w:rsidR="00410B0B" w:rsidP="5383272C" w:rsidRDefault="00410B0B" w14:paraId="67D3C984" w14:textId="5CBCD21D">
      <w:pPr>
        <w:spacing w:after="0"/>
        <w:rPr>
          <w:rFonts w:ascii="Cambria" w:hAnsi="Cambria" w:eastAsia="Cambria" w:cs="Cambria"/>
          <w:b/>
          <w:bCs/>
          <w:i/>
          <w:iCs/>
          <w:color w:val="365F91"/>
          <w:sz w:val="28"/>
          <w:szCs w:val="28"/>
        </w:rPr>
      </w:pPr>
    </w:p>
    <w:p w:rsidR="00410B0B" w:rsidP="5383272C" w:rsidRDefault="5383272C" w14:paraId="269674DB" w14:textId="311A69A0">
      <w:pPr>
        <w:spacing w:after="0"/>
      </w:pPr>
      <w:r w:rsidRPr="5383272C">
        <w:rPr>
          <w:rFonts w:ascii="Times New Roman" w:hAnsi="Times New Roman" w:eastAsia="Times New Roman" w:cs="Times New Roman"/>
          <w:b/>
          <w:bCs/>
          <w:color w:val="000000" w:themeColor="text1"/>
          <w:sz w:val="28"/>
          <w:szCs w:val="28"/>
        </w:rPr>
        <w:t>Table of Contents</w:t>
      </w:r>
    </w:p>
    <w:p w:rsidR="00410B0B" w:rsidP="5383272C" w:rsidRDefault="000623EF" w14:paraId="1BC6E38D" w14:textId="55F82D93">
      <w:pPr>
        <w:tabs>
          <w:tab w:val="left" w:pos="660"/>
          <w:tab w:val="right" w:leader="dot" w:pos="8630"/>
        </w:tabs>
        <w:spacing w:after="0"/>
      </w:pPr>
      <w:hyperlink w:anchor="_Toc496162129" r:id="rId8">
        <w:r w:rsidRPr="5383272C" w:rsidR="5383272C">
          <w:rPr>
            <w:rStyle w:val="Hyperlink"/>
            <w:rFonts w:ascii="Calibri" w:hAnsi="Calibri" w:eastAsia="Calibri" w:cs="Calibri"/>
            <w:color w:val="auto"/>
            <w:sz w:val="24"/>
            <w:szCs w:val="24"/>
          </w:rPr>
          <w:t>1.0</w:t>
        </w:r>
        <w:r w:rsidR="00733427">
          <w:tab/>
        </w:r>
        <w:r w:rsidRPr="5383272C" w:rsidR="5383272C">
          <w:rPr>
            <w:rStyle w:val="Hyperlink"/>
            <w:rFonts w:ascii="Calibri" w:hAnsi="Calibri" w:eastAsia="Calibri" w:cs="Calibri"/>
            <w:color w:val="auto"/>
            <w:sz w:val="24"/>
            <w:szCs w:val="24"/>
          </w:rPr>
          <w:t>Study Summary</w:t>
        </w:r>
        <w:r w:rsidR="00733427">
          <w:tab/>
        </w:r>
        <w:r w:rsidRPr="5383272C" w:rsidR="5383272C">
          <w:rPr>
            <w:rStyle w:val="Hyperlink"/>
            <w:rFonts w:ascii="Calibri" w:hAnsi="Calibri" w:eastAsia="Calibri" w:cs="Calibri"/>
            <w:color w:val="auto"/>
            <w:sz w:val="24"/>
            <w:szCs w:val="24"/>
          </w:rPr>
          <w:t>3</w:t>
        </w:r>
      </w:hyperlink>
    </w:p>
    <w:p w:rsidR="00410B0B" w:rsidP="5383272C" w:rsidRDefault="000623EF" w14:paraId="10E6E868" w14:textId="0115B355">
      <w:pPr>
        <w:tabs>
          <w:tab w:val="left" w:pos="660"/>
          <w:tab w:val="right" w:leader="dot" w:pos="8630"/>
        </w:tabs>
        <w:spacing w:after="0"/>
      </w:pPr>
      <w:hyperlink w:anchor="_Toc496162130" r:id="rId9">
        <w:r w:rsidRPr="5383272C" w:rsidR="5383272C">
          <w:rPr>
            <w:rStyle w:val="Hyperlink"/>
            <w:rFonts w:ascii="Calibri" w:hAnsi="Calibri" w:eastAsia="Calibri" w:cs="Calibri"/>
            <w:color w:val="auto"/>
            <w:sz w:val="24"/>
            <w:szCs w:val="24"/>
          </w:rPr>
          <w:t>2.0</w:t>
        </w:r>
        <w:r w:rsidR="00733427">
          <w:tab/>
        </w:r>
        <w:r w:rsidRPr="5383272C" w:rsidR="5383272C">
          <w:rPr>
            <w:rStyle w:val="Hyperlink"/>
            <w:rFonts w:ascii="Calibri" w:hAnsi="Calibri" w:eastAsia="Calibri" w:cs="Calibri"/>
            <w:color w:val="auto"/>
            <w:sz w:val="24"/>
            <w:szCs w:val="24"/>
          </w:rPr>
          <w:t>Objectives*</w:t>
        </w:r>
        <w:r w:rsidR="00733427">
          <w:tab/>
        </w:r>
        <w:r w:rsidRPr="5383272C" w:rsidR="5383272C">
          <w:rPr>
            <w:rStyle w:val="Hyperlink"/>
            <w:rFonts w:ascii="Calibri" w:hAnsi="Calibri" w:eastAsia="Calibri" w:cs="Calibri"/>
            <w:color w:val="auto"/>
            <w:sz w:val="24"/>
            <w:szCs w:val="24"/>
          </w:rPr>
          <w:t>4</w:t>
        </w:r>
      </w:hyperlink>
    </w:p>
    <w:p w:rsidR="00410B0B" w:rsidP="5383272C" w:rsidRDefault="000623EF" w14:paraId="4983E839" w14:textId="74897C94">
      <w:pPr>
        <w:tabs>
          <w:tab w:val="left" w:pos="660"/>
          <w:tab w:val="right" w:leader="dot" w:pos="8630"/>
        </w:tabs>
        <w:spacing w:after="0"/>
      </w:pPr>
      <w:hyperlink w:anchor="_Toc496162131" r:id="rId10">
        <w:r w:rsidRPr="5383272C" w:rsidR="5383272C">
          <w:rPr>
            <w:rStyle w:val="Hyperlink"/>
            <w:rFonts w:ascii="Calibri" w:hAnsi="Calibri" w:eastAsia="Calibri" w:cs="Calibri"/>
            <w:color w:val="auto"/>
            <w:sz w:val="24"/>
            <w:szCs w:val="24"/>
          </w:rPr>
          <w:t>3.0</w:t>
        </w:r>
        <w:r w:rsidR="00733427">
          <w:tab/>
        </w:r>
        <w:r w:rsidRPr="5383272C" w:rsidR="5383272C">
          <w:rPr>
            <w:rStyle w:val="Hyperlink"/>
            <w:rFonts w:ascii="Calibri" w:hAnsi="Calibri" w:eastAsia="Calibri" w:cs="Calibri"/>
            <w:color w:val="auto"/>
            <w:sz w:val="24"/>
            <w:szCs w:val="24"/>
          </w:rPr>
          <w:t>Background*</w:t>
        </w:r>
        <w:r w:rsidR="00733427">
          <w:tab/>
        </w:r>
        <w:r w:rsidRPr="5383272C" w:rsidR="5383272C">
          <w:rPr>
            <w:rStyle w:val="Hyperlink"/>
            <w:rFonts w:ascii="Calibri" w:hAnsi="Calibri" w:eastAsia="Calibri" w:cs="Calibri"/>
            <w:color w:val="auto"/>
            <w:sz w:val="24"/>
            <w:szCs w:val="24"/>
          </w:rPr>
          <w:t>4</w:t>
        </w:r>
      </w:hyperlink>
    </w:p>
    <w:p w:rsidR="00410B0B" w:rsidP="5383272C" w:rsidRDefault="000623EF" w14:paraId="74D3187F" w14:textId="79C09A51">
      <w:pPr>
        <w:tabs>
          <w:tab w:val="left" w:pos="660"/>
          <w:tab w:val="right" w:leader="dot" w:pos="8630"/>
        </w:tabs>
        <w:spacing w:after="0"/>
      </w:pPr>
      <w:hyperlink w:anchor="_Toc496162132" r:id="rId11">
        <w:r w:rsidRPr="5383272C" w:rsidR="5383272C">
          <w:rPr>
            <w:rStyle w:val="Hyperlink"/>
            <w:rFonts w:ascii="Calibri" w:hAnsi="Calibri" w:eastAsia="Calibri" w:cs="Calibri"/>
            <w:color w:val="auto"/>
            <w:sz w:val="24"/>
            <w:szCs w:val="24"/>
          </w:rPr>
          <w:t>4.0</w:t>
        </w:r>
        <w:r w:rsidR="00733427">
          <w:tab/>
        </w:r>
        <w:r w:rsidRPr="5383272C" w:rsidR="5383272C">
          <w:rPr>
            <w:rStyle w:val="Hyperlink"/>
            <w:rFonts w:ascii="Calibri" w:hAnsi="Calibri" w:eastAsia="Calibri" w:cs="Calibri"/>
            <w:color w:val="auto"/>
            <w:sz w:val="24"/>
            <w:szCs w:val="24"/>
          </w:rPr>
          <w:t>Study Endpoints*</w:t>
        </w:r>
        <w:r w:rsidR="00733427">
          <w:tab/>
        </w:r>
        <w:r w:rsidRPr="5383272C" w:rsidR="5383272C">
          <w:rPr>
            <w:rStyle w:val="Hyperlink"/>
            <w:rFonts w:ascii="Calibri" w:hAnsi="Calibri" w:eastAsia="Calibri" w:cs="Calibri"/>
            <w:color w:val="auto"/>
            <w:sz w:val="24"/>
            <w:szCs w:val="24"/>
          </w:rPr>
          <w:t>4</w:t>
        </w:r>
      </w:hyperlink>
    </w:p>
    <w:p w:rsidR="00410B0B" w:rsidP="5383272C" w:rsidRDefault="000623EF" w14:paraId="3B254526" w14:textId="63FE1169">
      <w:pPr>
        <w:tabs>
          <w:tab w:val="left" w:pos="660"/>
          <w:tab w:val="right" w:leader="dot" w:pos="8630"/>
        </w:tabs>
        <w:spacing w:after="0"/>
      </w:pPr>
      <w:hyperlink w:anchor="_Toc496162133" r:id="rId12">
        <w:r w:rsidRPr="5383272C" w:rsidR="5383272C">
          <w:rPr>
            <w:rStyle w:val="Hyperlink"/>
            <w:rFonts w:ascii="Calibri" w:hAnsi="Calibri" w:eastAsia="Calibri" w:cs="Calibri"/>
            <w:color w:val="auto"/>
            <w:sz w:val="24"/>
            <w:szCs w:val="24"/>
          </w:rPr>
          <w:t>5.0</w:t>
        </w:r>
        <w:r w:rsidR="00733427">
          <w:tab/>
        </w:r>
        <w:r w:rsidRPr="5383272C" w:rsidR="5383272C">
          <w:rPr>
            <w:rStyle w:val="Hyperlink"/>
            <w:rFonts w:ascii="Calibri" w:hAnsi="Calibri" w:eastAsia="Calibri" w:cs="Calibri"/>
            <w:color w:val="auto"/>
            <w:sz w:val="24"/>
            <w:szCs w:val="24"/>
          </w:rPr>
          <w:t>Study Intervention/Investigational Agent</w:t>
        </w:r>
        <w:r w:rsidR="00733427">
          <w:tab/>
        </w:r>
        <w:r w:rsidRPr="5383272C" w:rsidR="5383272C">
          <w:rPr>
            <w:rStyle w:val="Hyperlink"/>
            <w:rFonts w:ascii="Calibri" w:hAnsi="Calibri" w:eastAsia="Calibri" w:cs="Calibri"/>
            <w:color w:val="auto"/>
            <w:sz w:val="24"/>
            <w:szCs w:val="24"/>
          </w:rPr>
          <w:t>4</w:t>
        </w:r>
      </w:hyperlink>
    </w:p>
    <w:p w:rsidR="00410B0B" w:rsidP="5383272C" w:rsidRDefault="000623EF" w14:paraId="38E581F5" w14:textId="0C785968">
      <w:pPr>
        <w:tabs>
          <w:tab w:val="left" w:pos="660"/>
          <w:tab w:val="right" w:leader="dot" w:pos="8630"/>
        </w:tabs>
        <w:spacing w:after="0"/>
      </w:pPr>
      <w:hyperlink w:anchor="_Toc496162134" r:id="rId13">
        <w:r w:rsidRPr="5383272C" w:rsidR="5383272C">
          <w:rPr>
            <w:rStyle w:val="Hyperlink"/>
            <w:rFonts w:ascii="Calibri" w:hAnsi="Calibri" w:eastAsia="Calibri" w:cs="Calibri"/>
            <w:color w:val="auto"/>
            <w:sz w:val="24"/>
            <w:szCs w:val="24"/>
          </w:rPr>
          <w:t>6.0</w:t>
        </w:r>
        <w:r w:rsidR="00733427">
          <w:tab/>
        </w:r>
        <w:r w:rsidRPr="5383272C" w:rsidR="5383272C">
          <w:rPr>
            <w:rStyle w:val="Hyperlink"/>
            <w:rFonts w:ascii="Calibri" w:hAnsi="Calibri" w:eastAsia="Calibri" w:cs="Calibri"/>
            <w:color w:val="auto"/>
            <w:sz w:val="24"/>
            <w:szCs w:val="24"/>
          </w:rPr>
          <w:t>Procedures Involved*</w:t>
        </w:r>
        <w:r w:rsidR="00733427">
          <w:tab/>
        </w:r>
        <w:r w:rsidRPr="5383272C" w:rsidR="5383272C">
          <w:rPr>
            <w:rStyle w:val="Hyperlink"/>
            <w:rFonts w:ascii="Calibri" w:hAnsi="Calibri" w:eastAsia="Calibri" w:cs="Calibri"/>
            <w:color w:val="auto"/>
            <w:sz w:val="24"/>
            <w:szCs w:val="24"/>
          </w:rPr>
          <w:t>5</w:t>
        </w:r>
      </w:hyperlink>
    </w:p>
    <w:p w:rsidR="00410B0B" w:rsidP="5383272C" w:rsidRDefault="000623EF" w14:paraId="17A420AF" w14:textId="6A5A081B">
      <w:pPr>
        <w:tabs>
          <w:tab w:val="left" w:pos="660"/>
          <w:tab w:val="right" w:leader="dot" w:pos="8630"/>
        </w:tabs>
        <w:spacing w:after="0"/>
      </w:pPr>
      <w:hyperlink w:anchor="_Toc496162135" r:id="rId14">
        <w:r w:rsidRPr="5383272C" w:rsidR="5383272C">
          <w:rPr>
            <w:rStyle w:val="Hyperlink"/>
            <w:rFonts w:ascii="Calibri" w:hAnsi="Calibri" w:eastAsia="Calibri" w:cs="Calibri"/>
            <w:color w:val="auto"/>
            <w:sz w:val="24"/>
            <w:szCs w:val="24"/>
          </w:rPr>
          <w:t>7.0</w:t>
        </w:r>
        <w:r w:rsidR="00733427">
          <w:tab/>
        </w:r>
        <w:r w:rsidRPr="5383272C" w:rsidR="5383272C">
          <w:rPr>
            <w:rStyle w:val="Hyperlink"/>
            <w:rFonts w:ascii="Calibri" w:hAnsi="Calibri" w:eastAsia="Calibri" w:cs="Calibri"/>
            <w:color w:val="auto"/>
            <w:sz w:val="24"/>
            <w:szCs w:val="24"/>
          </w:rPr>
          <w:t>Data and Specimen Banking*</w:t>
        </w:r>
        <w:r w:rsidR="00733427">
          <w:tab/>
        </w:r>
        <w:r w:rsidRPr="5383272C" w:rsidR="5383272C">
          <w:rPr>
            <w:rStyle w:val="Hyperlink"/>
            <w:rFonts w:ascii="Calibri" w:hAnsi="Calibri" w:eastAsia="Calibri" w:cs="Calibri"/>
            <w:color w:val="auto"/>
            <w:sz w:val="24"/>
            <w:szCs w:val="24"/>
          </w:rPr>
          <w:t>5</w:t>
        </w:r>
      </w:hyperlink>
    </w:p>
    <w:p w:rsidR="00410B0B" w:rsidP="5383272C" w:rsidRDefault="000623EF" w14:paraId="1873B5EE" w14:textId="2482CBFA">
      <w:pPr>
        <w:tabs>
          <w:tab w:val="left" w:pos="660"/>
          <w:tab w:val="right" w:leader="dot" w:pos="8630"/>
        </w:tabs>
        <w:spacing w:after="0"/>
      </w:pPr>
      <w:hyperlink w:anchor="_Toc496162136" r:id="rId15">
        <w:r w:rsidRPr="5383272C" w:rsidR="5383272C">
          <w:rPr>
            <w:rStyle w:val="Hyperlink"/>
            <w:rFonts w:ascii="Calibri" w:hAnsi="Calibri" w:eastAsia="Calibri" w:cs="Calibri"/>
            <w:color w:val="auto"/>
            <w:sz w:val="24"/>
            <w:szCs w:val="24"/>
          </w:rPr>
          <w:t>8.0</w:t>
        </w:r>
        <w:r w:rsidR="00733427">
          <w:tab/>
        </w:r>
        <w:r w:rsidRPr="5383272C" w:rsidR="5383272C">
          <w:rPr>
            <w:rStyle w:val="Hyperlink"/>
            <w:rFonts w:ascii="Calibri" w:hAnsi="Calibri" w:eastAsia="Calibri" w:cs="Calibri"/>
            <w:color w:val="auto"/>
            <w:sz w:val="24"/>
            <w:szCs w:val="24"/>
          </w:rPr>
          <w:t>Sharing of Results with Subjects*</w:t>
        </w:r>
        <w:r w:rsidR="00733427">
          <w:tab/>
        </w:r>
        <w:r w:rsidRPr="5383272C" w:rsidR="5383272C">
          <w:rPr>
            <w:rStyle w:val="Hyperlink"/>
            <w:rFonts w:ascii="Calibri" w:hAnsi="Calibri" w:eastAsia="Calibri" w:cs="Calibri"/>
            <w:color w:val="auto"/>
            <w:sz w:val="24"/>
            <w:szCs w:val="24"/>
          </w:rPr>
          <w:t>6</w:t>
        </w:r>
      </w:hyperlink>
    </w:p>
    <w:p w:rsidR="00410B0B" w:rsidP="5383272C" w:rsidRDefault="000623EF" w14:paraId="16E99AB7" w14:textId="62E5ADE9">
      <w:pPr>
        <w:tabs>
          <w:tab w:val="left" w:pos="660"/>
          <w:tab w:val="right" w:leader="dot" w:pos="8630"/>
        </w:tabs>
        <w:spacing w:after="0"/>
      </w:pPr>
      <w:hyperlink w:anchor="_Toc496162137" r:id="rId16">
        <w:r w:rsidRPr="5383272C" w:rsidR="5383272C">
          <w:rPr>
            <w:rStyle w:val="Hyperlink"/>
            <w:rFonts w:ascii="Calibri" w:hAnsi="Calibri" w:eastAsia="Calibri" w:cs="Calibri"/>
            <w:color w:val="auto"/>
            <w:sz w:val="24"/>
            <w:szCs w:val="24"/>
          </w:rPr>
          <w:t>9.0</w:t>
        </w:r>
        <w:r w:rsidR="00733427">
          <w:tab/>
        </w:r>
        <w:r w:rsidRPr="5383272C" w:rsidR="5383272C">
          <w:rPr>
            <w:rStyle w:val="Hyperlink"/>
            <w:rFonts w:ascii="Calibri" w:hAnsi="Calibri" w:eastAsia="Calibri" w:cs="Calibri"/>
            <w:color w:val="auto"/>
            <w:sz w:val="24"/>
            <w:szCs w:val="24"/>
          </w:rPr>
          <w:t>Study Timelines*</w:t>
        </w:r>
        <w:r w:rsidR="00733427">
          <w:tab/>
        </w:r>
        <w:r w:rsidRPr="5383272C" w:rsidR="5383272C">
          <w:rPr>
            <w:rStyle w:val="Hyperlink"/>
            <w:rFonts w:ascii="Calibri" w:hAnsi="Calibri" w:eastAsia="Calibri" w:cs="Calibri"/>
            <w:color w:val="auto"/>
            <w:sz w:val="24"/>
            <w:szCs w:val="24"/>
          </w:rPr>
          <w:t>6</w:t>
        </w:r>
      </w:hyperlink>
    </w:p>
    <w:p w:rsidR="00410B0B" w:rsidP="5383272C" w:rsidRDefault="000623EF" w14:paraId="116346AC" w14:textId="617151D0">
      <w:pPr>
        <w:tabs>
          <w:tab w:val="left" w:pos="660"/>
          <w:tab w:val="right" w:leader="dot" w:pos="8630"/>
        </w:tabs>
        <w:spacing w:after="0"/>
      </w:pPr>
      <w:hyperlink w:anchor="_Toc496162138" r:id="rId17">
        <w:r w:rsidRPr="5383272C" w:rsidR="5383272C">
          <w:rPr>
            <w:rStyle w:val="Hyperlink"/>
            <w:rFonts w:ascii="Calibri" w:hAnsi="Calibri" w:eastAsia="Calibri" w:cs="Calibri"/>
            <w:color w:val="auto"/>
            <w:sz w:val="24"/>
            <w:szCs w:val="24"/>
          </w:rPr>
          <w:t>10.0</w:t>
        </w:r>
        <w:r w:rsidR="00733427">
          <w:tab/>
        </w:r>
        <w:r w:rsidRPr="5383272C" w:rsidR="5383272C">
          <w:rPr>
            <w:rStyle w:val="Hyperlink"/>
            <w:rFonts w:ascii="Calibri" w:hAnsi="Calibri" w:eastAsia="Calibri" w:cs="Calibri"/>
            <w:color w:val="auto"/>
            <w:sz w:val="24"/>
            <w:szCs w:val="24"/>
          </w:rPr>
          <w:t>Inclusion and Exclusion Criteria*</w:t>
        </w:r>
        <w:r w:rsidR="00733427">
          <w:tab/>
        </w:r>
        <w:r w:rsidRPr="5383272C" w:rsidR="5383272C">
          <w:rPr>
            <w:rStyle w:val="Hyperlink"/>
            <w:rFonts w:ascii="Calibri" w:hAnsi="Calibri" w:eastAsia="Calibri" w:cs="Calibri"/>
            <w:color w:val="auto"/>
            <w:sz w:val="24"/>
            <w:szCs w:val="24"/>
          </w:rPr>
          <w:t>6</w:t>
        </w:r>
      </w:hyperlink>
    </w:p>
    <w:p w:rsidR="00410B0B" w:rsidP="5383272C" w:rsidRDefault="000623EF" w14:paraId="2F962618" w14:textId="6170E1AE">
      <w:pPr>
        <w:tabs>
          <w:tab w:val="left" w:pos="660"/>
          <w:tab w:val="right" w:leader="dot" w:pos="8630"/>
        </w:tabs>
        <w:spacing w:after="0"/>
      </w:pPr>
      <w:hyperlink w:anchor="_Toc496162139" r:id="rId18">
        <w:r w:rsidRPr="5383272C" w:rsidR="5383272C">
          <w:rPr>
            <w:rStyle w:val="Hyperlink"/>
            <w:rFonts w:ascii="Calibri" w:hAnsi="Calibri" w:eastAsia="Calibri" w:cs="Calibri"/>
            <w:color w:val="auto"/>
            <w:sz w:val="24"/>
            <w:szCs w:val="24"/>
          </w:rPr>
          <w:t>11.0</w:t>
        </w:r>
        <w:r w:rsidR="00733427">
          <w:tab/>
        </w:r>
        <w:r w:rsidRPr="5383272C" w:rsidR="5383272C">
          <w:rPr>
            <w:rStyle w:val="Hyperlink"/>
            <w:rFonts w:ascii="Calibri" w:hAnsi="Calibri" w:eastAsia="Calibri" w:cs="Calibri"/>
            <w:color w:val="auto"/>
            <w:sz w:val="24"/>
            <w:szCs w:val="24"/>
          </w:rPr>
          <w:t>Vulnerable Populations*</w:t>
        </w:r>
        <w:r w:rsidR="00733427">
          <w:tab/>
        </w:r>
        <w:r w:rsidRPr="5383272C" w:rsidR="5383272C">
          <w:rPr>
            <w:rStyle w:val="Hyperlink"/>
            <w:rFonts w:ascii="Calibri" w:hAnsi="Calibri" w:eastAsia="Calibri" w:cs="Calibri"/>
            <w:color w:val="auto"/>
            <w:sz w:val="24"/>
            <w:szCs w:val="24"/>
          </w:rPr>
          <w:t>6</w:t>
        </w:r>
      </w:hyperlink>
    </w:p>
    <w:p w:rsidR="00410B0B" w:rsidP="5383272C" w:rsidRDefault="000623EF" w14:paraId="77D67EF9" w14:textId="188C83ED">
      <w:pPr>
        <w:tabs>
          <w:tab w:val="left" w:pos="660"/>
          <w:tab w:val="right" w:leader="dot" w:pos="8630"/>
        </w:tabs>
        <w:spacing w:after="0"/>
      </w:pPr>
      <w:hyperlink w:anchor="_Toc496162140" r:id="rId19">
        <w:r w:rsidRPr="5383272C" w:rsidR="5383272C">
          <w:rPr>
            <w:rStyle w:val="Hyperlink"/>
            <w:rFonts w:ascii="Calibri" w:hAnsi="Calibri" w:eastAsia="Calibri" w:cs="Calibri"/>
            <w:color w:val="auto"/>
            <w:sz w:val="24"/>
            <w:szCs w:val="24"/>
          </w:rPr>
          <w:t>12.0</w:t>
        </w:r>
        <w:r w:rsidR="00733427">
          <w:tab/>
        </w:r>
        <w:r w:rsidRPr="5383272C" w:rsidR="5383272C">
          <w:rPr>
            <w:rStyle w:val="Hyperlink"/>
            <w:rFonts w:ascii="Calibri" w:hAnsi="Calibri" w:eastAsia="Calibri" w:cs="Calibri"/>
            <w:color w:val="auto"/>
            <w:sz w:val="24"/>
            <w:szCs w:val="24"/>
          </w:rPr>
          <w:t>Local Number of Subjects</w:t>
        </w:r>
        <w:r w:rsidR="00733427">
          <w:tab/>
        </w:r>
        <w:r w:rsidRPr="5383272C" w:rsidR="5383272C">
          <w:rPr>
            <w:rStyle w:val="Hyperlink"/>
            <w:rFonts w:ascii="Calibri" w:hAnsi="Calibri" w:eastAsia="Calibri" w:cs="Calibri"/>
            <w:color w:val="auto"/>
            <w:sz w:val="24"/>
            <w:szCs w:val="24"/>
          </w:rPr>
          <w:t>7</w:t>
        </w:r>
      </w:hyperlink>
    </w:p>
    <w:p w:rsidR="00410B0B" w:rsidP="5383272C" w:rsidRDefault="000623EF" w14:paraId="08A25EB3" w14:textId="6FEEE7CB">
      <w:pPr>
        <w:tabs>
          <w:tab w:val="left" w:pos="660"/>
          <w:tab w:val="right" w:leader="dot" w:pos="8630"/>
        </w:tabs>
        <w:spacing w:after="0"/>
      </w:pPr>
      <w:hyperlink w:anchor="_Toc496162141" r:id="rId20">
        <w:r w:rsidRPr="5383272C" w:rsidR="5383272C">
          <w:rPr>
            <w:rStyle w:val="Hyperlink"/>
            <w:rFonts w:ascii="Calibri" w:hAnsi="Calibri" w:eastAsia="Calibri" w:cs="Calibri"/>
            <w:color w:val="auto"/>
            <w:sz w:val="24"/>
            <w:szCs w:val="24"/>
          </w:rPr>
          <w:t>13.0</w:t>
        </w:r>
        <w:r w:rsidR="00733427">
          <w:tab/>
        </w:r>
        <w:r w:rsidRPr="5383272C" w:rsidR="5383272C">
          <w:rPr>
            <w:rStyle w:val="Hyperlink"/>
            <w:rFonts w:ascii="Calibri" w:hAnsi="Calibri" w:eastAsia="Calibri" w:cs="Calibri"/>
            <w:color w:val="auto"/>
            <w:sz w:val="24"/>
            <w:szCs w:val="24"/>
          </w:rPr>
          <w:t>Recruitment Methods</w:t>
        </w:r>
        <w:r w:rsidR="00733427">
          <w:tab/>
        </w:r>
        <w:r w:rsidRPr="5383272C" w:rsidR="5383272C">
          <w:rPr>
            <w:rStyle w:val="Hyperlink"/>
            <w:rFonts w:ascii="Calibri" w:hAnsi="Calibri" w:eastAsia="Calibri" w:cs="Calibri"/>
            <w:color w:val="auto"/>
            <w:sz w:val="24"/>
            <w:szCs w:val="24"/>
          </w:rPr>
          <w:t>7</w:t>
        </w:r>
      </w:hyperlink>
    </w:p>
    <w:p w:rsidR="00410B0B" w:rsidP="5383272C" w:rsidRDefault="000623EF" w14:paraId="1A6FAF48" w14:textId="78B777F8">
      <w:pPr>
        <w:tabs>
          <w:tab w:val="left" w:pos="660"/>
          <w:tab w:val="right" w:leader="dot" w:pos="8630"/>
        </w:tabs>
        <w:spacing w:after="0"/>
      </w:pPr>
      <w:hyperlink w:anchor="_Toc496162142" r:id="rId21">
        <w:r w:rsidRPr="5383272C" w:rsidR="5383272C">
          <w:rPr>
            <w:rStyle w:val="Hyperlink"/>
            <w:rFonts w:ascii="Calibri" w:hAnsi="Calibri" w:eastAsia="Calibri" w:cs="Calibri"/>
            <w:color w:val="auto"/>
            <w:sz w:val="24"/>
            <w:szCs w:val="24"/>
          </w:rPr>
          <w:t>14.0</w:t>
        </w:r>
        <w:r w:rsidR="00733427">
          <w:tab/>
        </w:r>
        <w:r w:rsidRPr="5383272C" w:rsidR="5383272C">
          <w:rPr>
            <w:rStyle w:val="Hyperlink"/>
            <w:rFonts w:ascii="Calibri" w:hAnsi="Calibri" w:eastAsia="Calibri" w:cs="Calibri"/>
            <w:color w:val="auto"/>
            <w:sz w:val="24"/>
            <w:szCs w:val="24"/>
          </w:rPr>
          <w:t>Withdrawal of Subjects*</w:t>
        </w:r>
        <w:r w:rsidR="00733427">
          <w:tab/>
        </w:r>
        <w:r w:rsidRPr="5383272C" w:rsidR="5383272C">
          <w:rPr>
            <w:rStyle w:val="Hyperlink"/>
            <w:rFonts w:ascii="Calibri" w:hAnsi="Calibri" w:eastAsia="Calibri" w:cs="Calibri"/>
            <w:color w:val="auto"/>
            <w:sz w:val="24"/>
            <w:szCs w:val="24"/>
          </w:rPr>
          <w:t>7</w:t>
        </w:r>
      </w:hyperlink>
    </w:p>
    <w:p w:rsidR="00410B0B" w:rsidP="5383272C" w:rsidRDefault="000623EF" w14:paraId="3AAC2367" w14:textId="366E7226">
      <w:pPr>
        <w:tabs>
          <w:tab w:val="left" w:pos="660"/>
          <w:tab w:val="right" w:leader="dot" w:pos="8630"/>
        </w:tabs>
        <w:spacing w:after="0"/>
      </w:pPr>
      <w:hyperlink w:anchor="_Toc496162143" r:id="rId22">
        <w:r w:rsidRPr="5383272C" w:rsidR="5383272C">
          <w:rPr>
            <w:rStyle w:val="Hyperlink"/>
            <w:rFonts w:ascii="Calibri" w:hAnsi="Calibri" w:eastAsia="Calibri" w:cs="Calibri"/>
            <w:color w:val="auto"/>
            <w:sz w:val="24"/>
            <w:szCs w:val="24"/>
          </w:rPr>
          <w:t>15.0</w:t>
        </w:r>
        <w:r w:rsidR="00733427">
          <w:tab/>
        </w:r>
        <w:r w:rsidRPr="5383272C" w:rsidR="5383272C">
          <w:rPr>
            <w:rStyle w:val="Hyperlink"/>
            <w:rFonts w:ascii="Calibri" w:hAnsi="Calibri" w:eastAsia="Calibri" w:cs="Calibri"/>
            <w:color w:val="auto"/>
            <w:sz w:val="24"/>
            <w:szCs w:val="24"/>
          </w:rPr>
          <w:t>Risks to Subjects*</w:t>
        </w:r>
        <w:r w:rsidR="00733427">
          <w:tab/>
        </w:r>
        <w:r w:rsidRPr="5383272C" w:rsidR="5383272C">
          <w:rPr>
            <w:rStyle w:val="Hyperlink"/>
            <w:rFonts w:ascii="Calibri" w:hAnsi="Calibri" w:eastAsia="Calibri" w:cs="Calibri"/>
            <w:color w:val="auto"/>
            <w:sz w:val="24"/>
            <w:szCs w:val="24"/>
          </w:rPr>
          <w:t>7</w:t>
        </w:r>
      </w:hyperlink>
    </w:p>
    <w:p w:rsidR="00410B0B" w:rsidP="5383272C" w:rsidRDefault="000623EF" w14:paraId="6D792F63" w14:textId="6D808463">
      <w:pPr>
        <w:tabs>
          <w:tab w:val="left" w:pos="660"/>
          <w:tab w:val="right" w:leader="dot" w:pos="8630"/>
        </w:tabs>
        <w:spacing w:after="0"/>
      </w:pPr>
      <w:hyperlink w:anchor="_Toc496162144" r:id="rId23">
        <w:r w:rsidRPr="5383272C" w:rsidR="5383272C">
          <w:rPr>
            <w:rStyle w:val="Hyperlink"/>
            <w:rFonts w:ascii="Calibri" w:hAnsi="Calibri" w:eastAsia="Calibri" w:cs="Calibri"/>
            <w:color w:val="auto"/>
            <w:sz w:val="24"/>
            <w:szCs w:val="24"/>
          </w:rPr>
          <w:t>16.0</w:t>
        </w:r>
        <w:r w:rsidR="00733427">
          <w:tab/>
        </w:r>
        <w:r w:rsidRPr="5383272C" w:rsidR="5383272C">
          <w:rPr>
            <w:rStyle w:val="Hyperlink"/>
            <w:rFonts w:ascii="Calibri" w:hAnsi="Calibri" w:eastAsia="Calibri" w:cs="Calibri"/>
            <w:color w:val="auto"/>
            <w:sz w:val="24"/>
            <w:szCs w:val="24"/>
          </w:rPr>
          <w:t>Potential Benefits to Subjects*</w:t>
        </w:r>
        <w:r w:rsidR="00733427">
          <w:tab/>
        </w:r>
        <w:r w:rsidRPr="5383272C" w:rsidR="5383272C">
          <w:rPr>
            <w:rStyle w:val="Hyperlink"/>
            <w:rFonts w:ascii="Calibri" w:hAnsi="Calibri" w:eastAsia="Calibri" w:cs="Calibri"/>
            <w:color w:val="auto"/>
            <w:sz w:val="24"/>
            <w:szCs w:val="24"/>
          </w:rPr>
          <w:t>8</w:t>
        </w:r>
      </w:hyperlink>
    </w:p>
    <w:p w:rsidR="00410B0B" w:rsidP="5383272C" w:rsidRDefault="000623EF" w14:paraId="29CAB2E4" w14:textId="7B01A47E">
      <w:pPr>
        <w:tabs>
          <w:tab w:val="left" w:pos="660"/>
          <w:tab w:val="right" w:leader="dot" w:pos="8630"/>
        </w:tabs>
        <w:spacing w:after="0"/>
      </w:pPr>
      <w:hyperlink w:anchor="_Toc496162145" r:id="rId24">
        <w:r w:rsidRPr="5383272C" w:rsidR="5383272C">
          <w:rPr>
            <w:rStyle w:val="Hyperlink"/>
            <w:rFonts w:ascii="Calibri" w:hAnsi="Calibri" w:eastAsia="Calibri" w:cs="Calibri"/>
            <w:color w:val="auto"/>
            <w:sz w:val="24"/>
            <w:szCs w:val="24"/>
          </w:rPr>
          <w:t>17.0</w:t>
        </w:r>
        <w:r w:rsidR="00733427">
          <w:tab/>
        </w:r>
        <w:r w:rsidRPr="5383272C" w:rsidR="5383272C">
          <w:rPr>
            <w:rStyle w:val="Hyperlink"/>
            <w:rFonts w:ascii="Calibri" w:hAnsi="Calibri" w:eastAsia="Calibri" w:cs="Calibri"/>
            <w:color w:val="auto"/>
            <w:sz w:val="24"/>
            <w:szCs w:val="24"/>
          </w:rPr>
          <w:t>Data Management* and Confidentiality</w:t>
        </w:r>
        <w:r w:rsidR="00733427">
          <w:tab/>
        </w:r>
        <w:r w:rsidRPr="5383272C" w:rsidR="5383272C">
          <w:rPr>
            <w:rStyle w:val="Hyperlink"/>
            <w:rFonts w:ascii="Calibri" w:hAnsi="Calibri" w:eastAsia="Calibri" w:cs="Calibri"/>
            <w:color w:val="auto"/>
            <w:sz w:val="24"/>
            <w:szCs w:val="24"/>
          </w:rPr>
          <w:t>8</w:t>
        </w:r>
      </w:hyperlink>
    </w:p>
    <w:p w:rsidR="00410B0B" w:rsidP="5383272C" w:rsidRDefault="000623EF" w14:paraId="311A768A" w14:textId="63A553DD">
      <w:pPr>
        <w:tabs>
          <w:tab w:val="left" w:pos="660"/>
          <w:tab w:val="right" w:leader="dot" w:pos="8630"/>
        </w:tabs>
        <w:spacing w:after="0"/>
      </w:pPr>
      <w:hyperlink w:anchor="_Toc496162146" r:id="rId25">
        <w:r w:rsidRPr="5383272C" w:rsidR="5383272C">
          <w:rPr>
            <w:rStyle w:val="Hyperlink"/>
            <w:rFonts w:ascii="Calibri" w:hAnsi="Calibri" w:eastAsia="Calibri" w:cs="Calibri"/>
            <w:color w:val="auto"/>
            <w:sz w:val="24"/>
            <w:szCs w:val="24"/>
          </w:rPr>
          <w:t>18.0</w:t>
        </w:r>
        <w:r w:rsidR="00733427">
          <w:tab/>
        </w:r>
        <w:r w:rsidRPr="5383272C" w:rsidR="5383272C">
          <w:rPr>
            <w:rStyle w:val="Hyperlink"/>
            <w:rFonts w:ascii="Calibri" w:hAnsi="Calibri" w:eastAsia="Calibri" w:cs="Calibri"/>
            <w:color w:val="auto"/>
            <w:sz w:val="24"/>
            <w:szCs w:val="24"/>
          </w:rPr>
          <w:t>Provisions to Monitor the Data to Ensure the Safety of Subjects*</w:t>
        </w:r>
        <w:r w:rsidR="00733427">
          <w:tab/>
        </w:r>
        <w:r w:rsidRPr="5383272C" w:rsidR="5383272C">
          <w:rPr>
            <w:rStyle w:val="Hyperlink"/>
            <w:rFonts w:ascii="Calibri" w:hAnsi="Calibri" w:eastAsia="Calibri" w:cs="Calibri"/>
            <w:color w:val="auto"/>
            <w:sz w:val="24"/>
            <w:szCs w:val="24"/>
          </w:rPr>
          <w:t>8</w:t>
        </w:r>
      </w:hyperlink>
    </w:p>
    <w:p w:rsidR="00410B0B" w:rsidP="5383272C" w:rsidRDefault="000623EF" w14:paraId="1C79634E" w14:textId="2B5B855E">
      <w:pPr>
        <w:tabs>
          <w:tab w:val="left" w:pos="660"/>
          <w:tab w:val="right" w:leader="dot" w:pos="8630"/>
        </w:tabs>
        <w:spacing w:after="0"/>
      </w:pPr>
      <w:hyperlink w:anchor="_Toc496162147" r:id="rId26">
        <w:r w:rsidRPr="5383272C" w:rsidR="5383272C">
          <w:rPr>
            <w:rStyle w:val="Hyperlink"/>
            <w:rFonts w:ascii="Calibri" w:hAnsi="Calibri" w:eastAsia="Calibri" w:cs="Calibri"/>
            <w:color w:val="auto"/>
            <w:sz w:val="24"/>
            <w:szCs w:val="24"/>
          </w:rPr>
          <w:t>19.0</w:t>
        </w:r>
        <w:r w:rsidR="00733427">
          <w:tab/>
        </w:r>
        <w:r w:rsidRPr="5383272C" w:rsidR="5383272C">
          <w:rPr>
            <w:rStyle w:val="Hyperlink"/>
            <w:rFonts w:ascii="Calibri" w:hAnsi="Calibri" w:eastAsia="Calibri" w:cs="Calibri"/>
            <w:color w:val="auto"/>
            <w:sz w:val="24"/>
            <w:szCs w:val="24"/>
          </w:rPr>
          <w:t>Provisions to Protect the Privacy Interests of Subjects</w:t>
        </w:r>
        <w:r w:rsidR="00733427">
          <w:tab/>
        </w:r>
        <w:r w:rsidRPr="5383272C" w:rsidR="5383272C">
          <w:rPr>
            <w:rStyle w:val="Hyperlink"/>
            <w:rFonts w:ascii="Calibri" w:hAnsi="Calibri" w:eastAsia="Calibri" w:cs="Calibri"/>
            <w:color w:val="auto"/>
            <w:sz w:val="24"/>
            <w:szCs w:val="24"/>
          </w:rPr>
          <w:t>9</w:t>
        </w:r>
      </w:hyperlink>
    </w:p>
    <w:p w:rsidR="00410B0B" w:rsidP="5383272C" w:rsidRDefault="000623EF" w14:paraId="086589EF" w14:textId="3682FF10">
      <w:pPr>
        <w:tabs>
          <w:tab w:val="left" w:pos="660"/>
          <w:tab w:val="right" w:leader="dot" w:pos="8630"/>
        </w:tabs>
        <w:spacing w:after="0"/>
      </w:pPr>
      <w:hyperlink w:anchor="_Toc496162148" r:id="rId27">
        <w:r w:rsidRPr="5383272C" w:rsidR="5383272C">
          <w:rPr>
            <w:rStyle w:val="Hyperlink"/>
            <w:rFonts w:ascii="Calibri" w:hAnsi="Calibri" w:eastAsia="Calibri" w:cs="Calibri"/>
            <w:color w:val="auto"/>
            <w:sz w:val="24"/>
            <w:szCs w:val="24"/>
          </w:rPr>
          <w:t>20.0</w:t>
        </w:r>
        <w:r w:rsidR="00733427">
          <w:tab/>
        </w:r>
        <w:r w:rsidRPr="5383272C" w:rsidR="5383272C">
          <w:rPr>
            <w:rStyle w:val="Hyperlink"/>
            <w:rFonts w:ascii="Calibri" w:hAnsi="Calibri" w:eastAsia="Calibri" w:cs="Calibri"/>
            <w:color w:val="auto"/>
            <w:sz w:val="24"/>
            <w:szCs w:val="24"/>
          </w:rPr>
          <w:t>Compensation for Research-Related Injury</w:t>
        </w:r>
        <w:r w:rsidR="00733427">
          <w:tab/>
        </w:r>
        <w:r w:rsidRPr="5383272C" w:rsidR="5383272C">
          <w:rPr>
            <w:rStyle w:val="Hyperlink"/>
            <w:rFonts w:ascii="Calibri" w:hAnsi="Calibri" w:eastAsia="Calibri" w:cs="Calibri"/>
            <w:color w:val="auto"/>
            <w:sz w:val="24"/>
            <w:szCs w:val="24"/>
          </w:rPr>
          <w:t>9</w:t>
        </w:r>
      </w:hyperlink>
    </w:p>
    <w:p w:rsidR="00410B0B" w:rsidP="5383272C" w:rsidRDefault="000623EF" w14:paraId="40300651" w14:textId="0AC8AC28">
      <w:pPr>
        <w:tabs>
          <w:tab w:val="left" w:pos="660"/>
          <w:tab w:val="right" w:leader="dot" w:pos="8630"/>
        </w:tabs>
        <w:spacing w:after="0"/>
      </w:pPr>
      <w:hyperlink w:anchor="_Toc496162149" r:id="rId28">
        <w:r w:rsidRPr="5383272C" w:rsidR="5383272C">
          <w:rPr>
            <w:rStyle w:val="Hyperlink"/>
            <w:rFonts w:ascii="Calibri" w:hAnsi="Calibri" w:eastAsia="Calibri" w:cs="Calibri"/>
            <w:color w:val="auto"/>
            <w:sz w:val="24"/>
            <w:szCs w:val="24"/>
          </w:rPr>
          <w:t>21.0</w:t>
        </w:r>
        <w:r w:rsidR="00733427">
          <w:tab/>
        </w:r>
        <w:r w:rsidRPr="5383272C" w:rsidR="5383272C">
          <w:rPr>
            <w:rStyle w:val="Hyperlink"/>
            <w:rFonts w:ascii="Calibri" w:hAnsi="Calibri" w:eastAsia="Calibri" w:cs="Calibri"/>
            <w:color w:val="auto"/>
            <w:sz w:val="24"/>
            <w:szCs w:val="24"/>
          </w:rPr>
          <w:t>Economic Burden to Subjects</w:t>
        </w:r>
        <w:r w:rsidR="00733427">
          <w:tab/>
        </w:r>
        <w:r w:rsidRPr="5383272C" w:rsidR="5383272C">
          <w:rPr>
            <w:rStyle w:val="Hyperlink"/>
            <w:rFonts w:ascii="Calibri" w:hAnsi="Calibri" w:eastAsia="Calibri" w:cs="Calibri"/>
            <w:color w:val="auto"/>
            <w:sz w:val="24"/>
            <w:szCs w:val="24"/>
          </w:rPr>
          <w:t>9</w:t>
        </w:r>
      </w:hyperlink>
    </w:p>
    <w:p w:rsidR="00410B0B" w:rsidP="5383272C" w:rsidRDefault="000623EF" w14:paraId="0669D107" w14:textId="4A347E83">
      <w:pPr>
        <w:tabs>
          <w:tab w:val="left" w:pos="660"/>
          <w:tab w:val="right" w:leader="dot" w:pos="8630"/>
        </w:tabs>
        <w:spacing w:after="0"/>
      </w:pPr>
      <w:hyperlink w:anchor="_Toc496162150" r:id="rId29">
        <w:r w:rsidRPr="5383272C" w:rsidR="5383272C">
          <w:rPr>
            <w:rStyle w:val="Hyperlink"/>
            <w:rFonts w:ascii="Calibri" w:hAnsi="Calibri" w:eastAsia="Calibri" w:cs="Calibri"/>
            <w:color w:val="auto"/>
            <w:sz w:val="24"/>
            <w:szCs w:val="24"/>
          </w:rPr>
          <w:t>22.0</w:t>
        </w:r>
        <w:r w:rsidR="00733427">
          <w:tab/>
        </w:r>
        <w:r w:rsidRPr="5383272C" w:rsidR="5383272C">
          <w:rPr>
            <w:rStyle w:val="Hyperlink"/>
            <w:rFonts w:ascii="Calibri" w:hAnsi="Calibri" w:eastAsia="Calibri" w:cs="Calibri"/>
            <w:color w:val="auto"/>
            <w:sz w:val="24"/>
            <w:szCs w:val="24"/>
          </w:rPr>
          <w:t>Consent Process</w:t>
        </w:r>
        <w:r w:rsidR="00733427">
          <w:tab/>
        </w:r>
        <w:r w:rsidRPr="5383272C" w:rsidR="5383272C">
          <w:rPr>
            <w:rStyle w:val="Hyperlink"/>
            <w:rFonts w:ascii="Calibri" w:hAnsi="Calibri" w:eastAsia="Calibri" w:cs="Calibri"/>
            <w:color w:val="auto"/>
            <w:sz w:val="24"/>
            <w:szCs w:val="24"/>
          </w:rPr>
          <w:t>9</w:t>
        </w:r>
      </w:hyperlink>
    </w:p>
    <w:p w:rsidR="00410B0B" w:rsidP="5383272C" w:rsidRDefault="000623EF" w14:paraId="3FC150D5" w14:textId="15D7879E">
      <w:pPr>
        <w:tabs>
          <w:tab w:val="left" w:pos="660"/>
          <w:tab w:val="right" w:leader="dot" w:pos="8630"/>
        </w:tabs>
        <w:spacing w:after="0"/>
      </w:pPr>
      <w:hyperlink w:anchor="_Toc496162151" r:id="rId30">
        <w:r w:rsidRPr="5383272C" w:rsidR="5383272C">
          <w:rPr>
            <w:rStyle w:val="Hyperlink"/>
            <w:rFonts w:ascii="Calibri" w:hAnsi="Calibri" w:eastAsia="Calibri" w:cs="Calibri"/>
            <w:color w:val="auto"/>
            <w:sz w:val="24"/>
            <w:szCs w:val="24"/>
          </w:rPr>
          <w:t>23.0</w:t>
        </w:r>
        <w:r w:rsidR="00733427">
          <w:tab/>
        </w:r>
        <w:r w:rsidRPr="5383272C" w:rsidR="5383272C">
          <w:rPr>
            <w:rStyle w:val="Hyperlink"/>
            <w:rFonts w:ascii="Calibri" w:hAnsi="Calibri" w:eastAsia="Calibri" w:cs="Calibri"/>
            <w:color w:val="auto"/>
            <w:sz w:val="24"/>
            <w:szCs w:val="24"/>
          </w:rPr>
          <w:t>Process to Document Consent in Writing</w:t>
        </w:r>
        <w:r w:rsidR="00733427">
          <w:tab/>
        </w:r>
        <w:r w:rsidRPr="5383272C" w:rsidR="5383272C">
          <w:rPr>
            <w:rStyle w:val="Hyperlink"/>
            <w:rFonts w:ascii="Calibri" w:hAnsi="Calibri" w:eastAsia="Calibri" w:cs="Calibri"/>
            <w:color w:val="auto"/>
            <w:sz w:val="24"/>
            <w:szCs w:val="24"/>
          </w:rPr>
          <w:t>12</w:t>
        </w:r>
      </w:hyperlink>
    </w:p>
    <w:p w:rsidR="00410B0B" w:rsidP="5383272C" w:rsidRDefault="000623EF" w14:paraId="4B72C198" w14:textId="0E40DBD2">
      <w:pPr>
        <w:tabs>
          <w:tab w:val="left" w:pos="660"/>
          <w:tab w:val="right" w:leader="dot" w:pos="8630"/>
        </w:tabs>
        <w:spacing w:after="0"/>
      </w:pPr>
      <w:hyperlink w:anchor="_Toc496162152" r:id="rId31">
        <w:r w:rsidRPr="5383272C" w:rsidR="5383272C">
          <w:rPr>
            <w:rStyle w:val="Hyperlink"/>
            <w:rFonts w:ascii="Calibri" w:hAnsi="Calibri" w:eastAsia="Calibri" w:cs="Calibri"/>
            <w:color w:val="auto"/>
            <w:sz w:val="24"/>
            <w:szCs w:val="24"/>
          </w:rPr>
          <w:t>24.0</w:t>
        </w:r>
        <w:r w:rsidR="00733427">
          <w:tab/>
        </w:r>
        <w:r w:rsidRPr="5383272C" w:rsidR="5383272C">
          <w:rPr>
            <w:rStyle w:val="Hyperlink"/>
            <w:rFonts w:ascii="Calibri" w:hAnsi="Calibri" w:eastAsia="Calibri" w:cs="Calibri"/>
            <w:color w:val="auto"/>
            <w:sz w:val="24"/>
            <w:szCs w:val="24"/>
          </w:rPr>
          <w:t>Setting</w:t>
        </w:r>
        <w:r w:rsidR="00733427">
          <w:tab/>
        </w:r>
        <w:r w:rsidRPr="5383272C" w:rsidR="5383272C">
          <w:rPr>
            <w:rStyle w:val="Hyperlink"/>
            <w:rFonts w:ascii="Calibri" w:hAnsi="Calibri" w:eastAsia="Calibri" w:cs="Calibri"/>
            <w:color w:val="auto"/>
            <w:sz w:val="24"/>
            <w:szCs w:val="24"/>
          </w:rPr>
          <w:t>13</w:t>
        </w:r>
      </w:hyperlink>
    </w:p>
    <w:p w:rsidR="00410B0B" w:rsidP="5383272C" w:rsidRDefault="000623EF" w14:paraId="172A66E6" w14:textId="33A67382">
      <w:pPr>
        <w:tabs>
          <w:tab w:val="left" w:pos="660"/>
          <w:tab w:val="right" w:leader="dot" w:pos="8630"/>
        </w:tabs>
        <w:spacing w:after="0"/>
      </w:pPr>
      <w:hyperlink w:anchor="_Toc496162153" r:id="rId32">
        <w:r w:rsidRPr="5383272C" w:rsidR="5383272C">
          <w:rPr>
            <w:rStyle w:val="Hyperlink"/>
            <w:rFonts w:ascii="Calibri" w:hAnsi="Calibri" w:eastAsia="Calibri" w:cs="Calibri"/>
            <w:color w:val="auto"/>
            <w:sz w:val="24"/>
            <w:szCs w:val="24"/>
          </w:rPr>
          <w:t>25.0</w:t>
        </w:r>
        <w:r w:rsidR="00733427">
          <w:tab/>
        </w:r>
        <w:r w:rsidRPr="5383272C" w:rsidR="5383272C">
          <w:rPr>
            <w:rStyle w:val="Hyperlink"/>
            <w:rFonts w:ascii="Calibri" w:hAnsi="Calibri" w:eastAsia="Calibri" w:cs="Calibri"/>
            <w:color w:val="auto"/>
            <w:sz w:val="24"/>
            <w:szCs w:val="24"/>
          </w:rPr>
          <w:t>Resources Available</w:t>
        </w:r>
        <w:r w:rsidR="00733427">
          <w:tab/>
        </w:r>
        <w:r w:rsidRPr="5383272C" w:rsidR="5383272C">
          <w:rPr>
            <w:rStyle w:val="Hyperlink"/>
            <w:rFonts w:ascii="Calibri" w:hAnsi="Calibri" w:eastAsia="Calibri" w:cs="Calibri"/>
            <w:color w:val="auto"/>
            <w:sz w:val="24"/>
            <w:szCs w:val="24"/>
          </w:rPr>
          <w:t>13</w:t>
        </w:r>
      </w:hyperlink>
    </w:p>
    <w:p w:rsidR="00410B0B" w:rsidP="5383272C" w:rsidRDefault="000623EF" w14:paraId="7F80A470" w14:textId="2B0D5A2A">
      <w:pPr>
        <w:tabs>
          <w:tab w:val="left" w:pos="660"/>
          <w:tab w:val="right" w:leader="dot" w:pos="8630"/>
        </w:tabs>
        <w:spacing w:after="0"/>
      </w:pPr>
      <w:hyperlink w:anchor="_Toc496162154" r:id="rId33">
        <w:r w:rsidRPr="5383272C" w:rsidR="5383272C">
          <w:rPr>
            <w:rStyle w:val="Hyperlink"/>
            <w:rFonts w:ascii="Calibri" w:hAnsi="Calibri" w:eastAsia="Calibri" w:cs="Calibri"/>
            <w:color w:val="auto"/>
            <w:sz w:val="24"/>
            <w:szCs w:val="24"/>
          </w:rPr>
          <w:t>26.0</w:t>
        </w:r>
        <w:r w:rsidR="00733427">
          <w:tab/>
        </w:r>
        <w:r w:rsidRPr="5383272C" w:rsidR="5383272C">
          <w:rPr>
            <w:rStyle w:val="Hyperlink"/>
            <w:rFonts w:ascii="Calibri" w:hAnsi="Calibri" w:eastAsia="Calibri" w:cs="Calibri"/>
            <w:color w:val="auto"/>
            <w:sz w:val="24"/>
            <w:szCs w:val="24"/>
          </w:rPr>
          <w:t>Multi-Site Research*</w:t>
        </w:r>
        <w:r w:rsidR="00733427">
          <w:tab/>
        </w:r>
        <w:r w:rsidRPr="5383272C" w:rsidR="5383272C">
          <w:rPr>
            <w:rStyle w:val="Hyperlink"/>
            <w:rFonts w:ascii="Calibri" w:hAnsi="Calibri" w:eastAsia="Calibri" w:cs="Calibri"/>
            <w:color w:val="auto"/>
            <w:sz w:val="24"/>
            <w:szCs w:val="24"/>
          </w:rPr>
          <w:t>13</w:t>
        </w:r>
      </w:hyperlink>
    </w:p>
    <w:p w:rsidR="00410B0B" w:rsidP="5383272C" w:rsidRDefault="5383272C" w14:paraId="3B0BBC18" w14:textId="4BFFAA39">
      <w:pPr>
        <w:spacing w:after="0"/>
        <w:rPr>
          <w:rFonts w:ascii="Calibri" w:hAnsi="Calibri" w:eastAsia="Calibri" w:cs="Calibri"/>
          <w:sz w:val="24"/>
          <w:szCs w:val="24"/>
        </w:rPr>
      </w:pPr>
      <w:r w:rsidRPr="5383272C">
        <w:rPr>
          <w:rFonts w:ascii="Calibri" w:hAnsi="Calibri" w:eastAsia="Calibri" w:cs="Calibri"/>
          <w:sz w:val="24"/>
          <w:szCs w:val="24"/>
        </w:rPr>
        <w:t xml:space="preserve"> </w:t>
      </w:r>
    </w:p>
    <w:p w:rsidR="00410B0B" w:rsidP="5383272C" w:rsidRDefault="5383272C" w14:paraId="53A48664" w14:textId="67BF46A9">
      <w:pPr>
        <w:spacing w:after="0"/>
      </w:pPr>
      <w:r w:rsidRPr="5383272C">
        <w:rPr>
          <w:rFonts w:ascii="Calibri" w:hAnsi="Calibri" w:eastAsia="Calibri" w:cs="Calibri"/>
          <w:sz w:val="24"/>
          <w:szCs w:val="24"/>
        </w:rPr>
        <w:t xml:space="preserve"> </w:t>
      </w:r>
    </w:p>
    <w:p w:rsidR="00410B0B" w:rsidP="5383272C" w:rsidRDefault="5383272C" w14:paraId="53A2D744" w14:textId="77913B85">
      <w:pPr>
        <w:spacing w:after="0"/>
      </w:pPr>
      <w:r w:rsidRPr="5383272C">
        <w:rPr>
          <w:rFonts w:ascii="Calibri" w:hAnsi="Calibri" w:eastAsia="Calibri" w:cs="Calibri"/>
          <w:sz w:val="24"/>
          <w:szCs w:val="24"/>
        </w:rPr>
        <w:t xml:space="preserve"> </w:t>
      </w:r>
    </w:p>
    <w:p w:rsidR="00410B0B" w:rsidP="5383272C" w:rsidRDefault="00410B0B" w14:paraId="544BBB16" w14:textId="48FEA65D">
      <w:pPr>
        <w:spacing w:after="0"/>
        <w:rPr>
          <w:rFonts w:ascii="Calibri" w:hAnsi="Calibri" w:eastAsia="Calibri" w:cs="Calibri"/>
          <w:sz w:val="24"/>
          <w:szCs w:val="24"/>
        </w:rPr>
      </w:pPr>
    </w:p>
    <w:p w:rsidR="00410B0B" w:rsidP="5383272C" w:rsidRDefault="00410B0B" w14:paraId="74949DD5" w14:textId="06950E17">
      <w:pPr>
        <w:spacing w:after="0"/>
        <w:rPr>
          <w:rFonts w:ascii="Calibri" w:hAnsi="Calibri" w:eastAsia="Calibri" w:cs="Calibri"/>
          <w:sz w:val="24"/>
          <w:szCs w:val="24"/>
        </w:rPr>
      </w:pPr>
    </w:p>
    <w:p w:rsidR="00410B0B" w:rsidP="5383272C" w:rsidRDefault="00410B0B" w14:paraId="11F9EADD" w14:textId="3BD29F5E">
      <w:pPr>
        <w:spacing w:after="0"/>
        <w:rPr>
          <w:rFonts w:ascii="Calibri" w:hAnsi="Calibri" w:eastAsia="Calibri" w:cs="Calibri"/>
          <w:sz w:val="24"/>
          <w:szCs w:val="24"/>
        </w:rPr>
      </w:pPr>
    </w:p>
    <w:p w:rsidR="00410B0B" w:rsidP="5383272C" w:rsidRDefault="00410B0B" w14:paraId="352AD7A9" w14:textId="19476182">
      <w:pPr>
        <w:spacing w:after="0"/>
        <w:rPr>
          <w:rFonts w:ascii="Calibri" w:hAnsi="Calibri" w:eastAsia="Calibri" w:cs="Calibri"/>
          <w:sz w:val="24"/>
          <w:szCs w:val="24"/>
        </w:rPr>
      </w:pPr>
    </w:p>
    <w:p w:rsidR="00410B0B" w:rsidP="5383272C" w:rsidRDefault="00410B0B" w14:paraId="4E8F305C" w14:textId="30139E11">
      <w:pPr>
        <w:spacing w:after="0"/>
        <w:rPr>
          <w:rFonts w:ascii="Calibri" w:hAnsi="Calibri" w:eastAsia="Calibri" w:cs="Calibri"/>
          <w:sz w:val="24"/>
          <w:szCs w:val="24"/>
        </w:rPr>
      </w:pPr>
    </w:p>
    <w:p w:rsidR="00410B0B" w:rsidP="5383272C" w:rsidRDefault="00410B0B" w14:paraId="52CDA2A5" w14:textId="4036EB7C">
      <w:pPr>
        <w:spacing w:after="0"/>
        <w:rPr>
          <w:rFonts w:ascii="Times New Roman" w:hAnsi="Times New Roman" w:eastAsia="Times New Roman" w:cs="Times New Roman"/>
          <w:sz w:val="24"/>
          <w:szCs w:val="24"/>
        </w:rPr>
      </w:pPr>
    </w:p>
    <w:p w:rsidR="00410B0B" w:rsidP="5383272C" w:rsidRDefault="00410B0B" w14:paraId="1D07781C" w14:textId="1DF44C06">
      <w:pPr>
        <w:spacing w:after="0"/>
        <w:rPr>
          <w:rFonts w:ascii="Times New Roman" w:hAnsi="Times New Roman" w:eastAsia="Times New Roman" w:cs="Times New Roman"/>
          <w:sz w:val="24"/>
          <w:szCs w:val="24"/>
        </w:rPr>
      </w:pPr>
    </w:p>
    <w:p w:rsidR="00410B0B" w:rsidP="5383272C" w:rsidRDefault="00410B0B" w14:paraId="00A64E07" w14:textId="3F012632">
      <w:pPr>
        <w:spacing w:after="0"/>
        <w:rPr>
          <w:rFonts w:ascii="Times New Roman" w:hAnsi="Times New Roman" w:eastAsia="Times New Roman" w:cs="Times New Roman"/>
          <w:sz w:val="24"/>
          <w:szCs w:val="24"/>
        </w:rPr>
      </w:pPr>
    </w:p>
    <w:p w:rsidR="00410B0B" w:rsidP="5383272C" w:rsidRDefault="00410B0B" w14:paraId="6340F6A3" w14:textId="27FFB572">
      <w:pPr>
        <w:spacing w:after="0"/>
        <w:rPr>
          <w:rFonts w:ascii="Times New Roman" w:hAnsi="Times New Roman" w:eastAsia="Times New Roman" w:cs="Times New Roman"/>
          <w:sz w:val="24"/>
          <w:szCs w:val="24"/>
        </w:rPr>
      </w:pPr>
    </w:p>
    <w:p w:rsidR="00410B0B" w:rsidP="5383272C" w:rsidRDefault="00410B0B" w14:paraId="031F17AF" w14:textId="7DB98E64">
      <w:pPr>
        <w:spacing w:after="0"/>
        <w:rPr>
          <w:rFonts w:ascii="Times New Roman" w:hAnsi="Times New Roman" w:eastAsia="Times New Roman" w:cs="Times New Roman"/>
          <w:sz w:val="24"/>
          <w:szCs w:val="24"/>
        </w:rPr>
      </w:pPr>
    </w:p>
    <w:p w:rsidR="00410B0B" w:rsidP="5383272C" w:rsidRDefault="00410B0B" w14:paraId="601012B5" w14:textId="010F243D">
      <w:pPr>
        <w:spacing w:after="0"/>
        <w:rPr>
          <w:rFonts w:ascii="Times New Roman" w:hAnsi="Times New Roman" w:eastAsia="Times New Roman" w:cs="Times New Roman"/>
          <w:sz w:val="24"/>
          <w:szCs w:val="24"/>
        </w:rPr>
      </w:pPr>
    </w:p>
    <w:p w:rsidR="00410B0B" w:rsidP="5383272C" w:rsidRDefault="5383272C" w14:paraId="3FC118DC" w14:textId="2FD1E4BC">
      <w:pPr>
        <w:pStyle w:val="Heading1"/>
        <w:spacing w:before="0"/>
        <w:rPr>
          <w:rFonts w:ascii="Times New Roman" w:hAnsi="Times New Roman" w:eastAsia="Times New Roman" w:cs="Times New Roman"/>
          <w:b/>
          <w:bCs/>
          <w:color w:val="auto"/>
          <w:sz w:val="28"/>
          <w:szCs w:val="28"/>
          <w:u w:val="single"/>
        </w:rPr>
      </w:pPr>
      <w:r w:rsidRPr="5383272C">
        <w:rPr>
          <w:rFonts w:ascii="Times New Roman" w:hAnsi="Times New Roman" w:eastAsia="Times New Roman" w:cs="Times New Roman"/>
          <w:b/>
          <w:bCs/>
          <w:color w:val="auto"/>
          <w:sz w:val="28"/>
          <w:szCs w:val="28"/>
          <w:u w:val="single"/>
        </w:rPr>
        <w:t xml:space="preserve">GHUCCTS Questions </w:t>
      </w:r>
    </w:p>
    <w:p w:rsidR="00410B0B" w:rsidP="5383272C" w:rsidRDefault="5383272C" w14:paraId="3C67D548" w14:textId="7E172FFB">
      <w:pPr>
        <w:pStyle w:val="Heading1"/>
        <w:spacing w:before="0"/>
        <w:rPr>
          <w:rFonts w:ascii="Times New Roman" w:hAnsi="Times New Roman" w:eastAsia="Times New Roman" w:cs="Times New Roman"/>
          <w:color w:val="auto"/>
          <w:sz w:val="24"/>
          <w:szCs w:val="24"/>
        </w:rPr>
      </w:pPr>
      <w:r w:rsidRPr="5383272C">
        <w:rPr>
          <w:rFonts w:ascii="Times New Roman" w:hAnsi="Times New Roman" w:eastAsia="Times New Roman" w:cs="Times New Roman"/>
          <w:color w:val="auto"/>
          <w:sz w:val="24"/>
          <w:szCs w:val="24"/>
        </w:rPr>
        <w:t xml:space="preserve"> </w:t>
      </w:r>
    </w:p>
    <w:p w:rsidR="00410B0B" w:rsidP="5383272C" w:rsidRDefault="5383272C" w14:paraId="4CC05ABA" w14:textId="5A2867FB">
      <w:pPr>
        <w:pStyle w:val="Heading1"/>
        <w:spacing w:before="0"/>
        <w:rPr>
          <w:rFonts w:ascii="Times New Roman" w:hAnsi="Times New Roman" w:eastAsia="Times New Roman" w:cs="Times New Roman"/>
          <w:color w:val="auto"/>
          <w:sz w:val="24"/>
          <w:szCs w:val="24"/>
        </w:rPr>
      </w:pPr>
      <w:r w:rsidRPr="35A31DE5" w:rsidR="01A8E401">
        <w:rPr>
          <w:rFonts w:ascii="Times New Roman" w:hAnsi="Times New Roman" w:eastAsia="Times New Roman" w:cs="Times New Roman"/>
          <w:color w:val="auto"/>
          <w:sz w:val="24"/>
          <w:szCs w:val="24"/>
        </w:rPr>
        <w:t>GHUCCTS is the Georgetown-Howard Universities Center for Clinical and Translational Science.</w:t>
      </w:r>
    </w:p>
    <w:p w:rsidR="00410B0B" w:rsidP="35A31DE5" w:rsidRDefault="00410B0B" w14:paraId="2216D296" w14:textId="18776B4B">
      <w:pPr>
        <w:rPr>
          <w:rFonts w:ascii="Times New Roman" w:hAnsi="Times New Roman" w:eastAsia="Times New Roman" w:cs="Times New Roman"/>
          <w:sz w:val="24"/>
          <w:szCs w:val="24"/>
        </w:rPr>
      </w:pPr>
    </w:p>
    <w:p w:rsidR="00410B0B" w:rsidP="5383272C" w:rsidRDefault="5383272C" w14:paraId="0808E354" w14:textId="4A4E6DF2">
      <w:pPr>
        <w:pStyle w:val="Heading1"/>
        <w:spacing w:before="0"/>
        <w:rPr>
          <w:rFonts w:ascii="Times New Roman" w:hAnsi="Times New Roman" w:eastAsia="Times New Roman" w:cs="Times New Roman"/>
          <w:color w:val="auto"/>
          <w:sz w:val="24"/>
          <w:szCs w:val="24"/>
        </w:rPr>
      </w:pPr>
      <w:r w:rsidRPr="35A31DE5" w:rsidR="01A8E401">
        <w:rPr>
          <w:rFonts w:ascii="Times New Roman" w:hAnsi="Times New Roman" w:eastAsia="Times New Roman" w:cs="Times New Roman"/>
          <w:b w:val="1"/>
          <w:bCs w:val="1"/>
          <w:color w:val="auto"/>
          <w:sz w:val="24"/>
          <w:szCs w:val="24"/>
        </w:rPr>
        <w:t xml:space="preserve">Is this study a GHUCCTS Study? </w:t>
      </w:r>
      <w:r w:rsidRPr="35A31DE5" w:rsidR="01A8E401">
        <w:rPr>
          <w:rFonts w:ascii="Times New Roman" w:hAnsi="Times New Roman" w:eastAsia="Times New Roman" w:cs="Times New Roman"/>
          <w:color w:val="auto"/>
          <w:sz w:val="24"/>
          <w:szCs w:val="24"/>
        </w:rPr>
        <w:t xml:space="preserve">  ____Yes</w:t>
      </w:r>
      <w:r>
        <w:tab/>
      </w:r>
      <w:proofErr w:type="spellStart"/>
      <w:r w:rsidRPr="35A31DE5" w:rsidR="01A8E401">
        <w:rPr>
          <w:rFonts w:ascii="Times New Roman" w:hAnsi="Times New Roman" w:eastAsia="Times New Roman" w:cs="Times New Roman"/>
          <w:color w:val="auto"/>
          <w:sz w:val="24"/>
          <w:szCs w:val="24"/>
        </w:rPr>
        <w:t>X____No</w:t>
      </w:r>
      <w:proofErr w:type="spellEnd"/>
    </w:p>
    <w:p w:rsidR="00410B0B" w:rsidP="5383272C" w:rsidRDefault="5383272C" w14:paraId="60801922" w14:textId="64BFE8F6">
      <w:pPr>
        <w:pStyle w:val="Heading1"/>
        <w:spacing w:before="0"/>
        <w:rPr>
          <w:rFonts w:ascii="Times New Roman" w:hAnsi="Times New Roman" w:eastAsia="Times New Roman" w:cs="Times New Roman"/>
          <w:color w:val="auto"/>
          <w:sz w:val="24"/>
          <w:szCs w:val="24"/>
        </w:rPr>
      </w:pPr>
      <w:r w:rsidRPr="35A31DE5" w:rsidR="01A8E401">
        <w:rPr>
          <w:rFonts w:ascii="Times New Roman" w:hAnsi="Times New Roman" w:eastAsia="Times New Roman" w:cs="Times New Roman"/>
          <w:color w:val="auto"/>
          <w:sz w:val="24"/>
          <w:szCs w:val="24"/>
        </w:rPr>
        <w:t xml:space="preserve"> </w:t>
      </w:r>
    </w:p>
    <w:p w:rsidR="00410B0B" w:rsidP="5383272C" w:rsidRDefault="5383272C" w14:paraId="506EE175" w14:textId="0FDC2E47">
      <w:pPr>
        <w:pStyle w:val="Heading1"/>
        <w:spacing w:before="0"/>
        <w:rPr>
          <w:rFonts w:ascii="Times New Roman" w:hAnsi="Times New Roman" w:eastAsia="Times New Roman" w:cs="Times New Roman"/>
          <w:color w:val="auto"/>
          <w:sz w:val="24"/>
          <w:szCs w:val="24"/>
        </w:rPr>
      </w:pPr>
      <w:r w:rsidRPr="35A31DE5" w:rsidR="01A8E401">
        <w:rPr>
          <w:rFonts w:ascii="Times New Roman" w:hAnsi="Times New Roman" w:eastAsia="Times New Roman" w:cs="Times New Roman"/>
          <w:b w:val="1"/>
          <w:bCs w:val="1"/>
          <w:color w:val="auto"/>
          <w:sz w:val="24"/>
          <w:szCs w:val="24"/>
        </w:rPr>
        <w:t>Is the project being sponsored or funded by GHUCCTS?</w:t>
      </w:r>
      <w:r w:rsidRPr="35A31DE5" w:rsidR="01A8E401">
        <w:rPr>
          <w:rFonts w:ascii="Times New Roman" w:hAnsi="Times New Roman" w:eastAsia="Times New Roman" w:cs="Times New Roman"/>
          <w:color w:val="auto"/>
          <w:sz w:val="24"/>
          <w:szCs w:val="24"/>
        </w:rPr>
        <w:t xml:space="preserve">  ____Yes      </w:t>
      </w:r>
      <w:proofErr w:type="spellStart"/>
      <w:r w:rsidRPr="35A31DE5" w:rsidR="01A8E401">
        <w:rPr>
          <w:rFonts w:ascii="Times New Roman" w:hAnsi="Times New Roman" w:eastAsia="Times New Roman" w:cs="Times New Roman"/>
          <w:color w:val="auto"/>
          <w:sz w:val="24"/>
          <w:szCs w:val="24"/>
        </w:rPr>
        <w:t>X____No</w:t>
      </w:r>
      <w:proofErr w:type="spellEnd"/>
    </w:p>
    <w:p w:rsidR="00410B0B" w:rsidP="5383272C" w:rsidRDefault="5383272C" w14:paraId="5C133DDA" w14:textId="1D6F0148">
      <w:pPr>
        <w:pStyle w:val="Heading1"/>
        <w:spacing w:before="0"/>
        <w:rPr>
          <w:rFonts w:ascii="Times New Roman" w:hAnsi="Times New Roman" w:eastAsia="Times New Roman" w:cs="Times New Roman"/>
          <w:color w:val="auto"/>
          <w:sz w:val="24"/>
          <w:szCs w:val="24"/>
        </w:rPr>
      </w:pPr>
      <w:r w:rsidRPr="35A31DE5" w:rsidR="01A8E401">
        <w:rPr>
          <w:rFonts w:ascii="Times New Roman" w:hAnsi="Times New Roman" w:eastAsia="Times New Roman" w:cs="Times New Roman"/>
          <w:color w:val="auto"/>
          <w:sz w:val="24"/>
          <w:szCs w:val="24"/>
        </w:rPr>
        <w:t xml:space="preserve"> </w:t>
      </w:r>
    </w:p>
    <w:p w:rsidR="00410B0B" w:rsidP="5383272C" w:rsidRDefault="5383272C" w14:paraId="2C1E546E" w14:textId="2206872A">
      <w:pPr>
        <w:pStyle w:val="Heading1"/>
        <w:spacing w:before="0"/>
        <w:rPr>
          <w:rFonts w:ascii="Times New Roman" w:hAnsi="Times New Roman" w:eastAsia="Times New Roman" w:cs="Times New Roman"/>
          <w:color w:val="auto"/>
          <w:sz w:val="24"/>
          <w:szCs w:val="24"/>
        </w:rPr>
      </w:pPr>
      <w:r w:rsidRPr="35A31DE5" w:rsidR="01A8E401">
        <w:rPr>
          <w:rFonts w:ascii="Times New Roman" w:hAnsi="Times New Roman" w:eastAsia="Times New Roman" w:cs="Times New Roman"/>
          <w:b w:val="1"/>
          <w:bCs w:val="1"/>
          <w:color w:val="auto"/>
          <w:sz w:val="24"/>
          <w:szCs w:val="24"/>
        </w:rPr>
        <w:t>Does the project utilize GHUCCTS services or facilities?</w:t>
      </w:r>
      <w:r w:rsidRPr="35A31DE5" w:rsidR="01A8E401">
        <w:rPr>
          <w:rFonts w:ascii="Times New Roman" w:hAnsi="Times New Roman" w:eastAsia="Times New Roman" w:cs="Times New Roman"/>
          <w:color w:val="auto"/>
          <w:sz w:val="24"/>
          <w:szCs w:val="24"/>
        </w:rPr>
        <w:t xml:space="preserve">  ____Yes</w:t>
      </w:r>
      <w:r>
        <w:tab/>
      </w:r>
      <w:proofErr w:type="spellStart"/>
      <w:r w:rsidRPr="35A31DE5" w:rsidR="01A8E401">
        <w:rPr>
          <w:rFonts w:ascii="Times New Roman" w:hAnsi="Times New Roman" w:eastAsia="Times New Roman" w:cs="Times New Roman"/>
          <w:color w:val="auto"/>
          <w:sz w:val="24"/>
          <w:szCs w:val="24"/>
        </w:rPr>
        <w:t>X____No</w:t>
      </w:r>
      <w:proofErr w:type="spellEnd"/>
    </w:p>
    <w:p w:rsidR="00410B0B" w:rsidP="5383272C" w:rsidRDefault="5383272C" w14:paraId="5B1ADC06" w14:textId="3E47DB2F">
      <w:pPr>
        <w:spacing w:after="0"/>
        <w:rPr>
          <w:rFonts w:ascii="Calibri" w:hAnsi="Calibri" w:eastAsia="Calibri" w:cs="Calibri"/>
          <w:sz w:val="24"/>
          <w:szCs w:val="24"/>
        </w:rPr>
      </w:pPr>
      <w:r w:rsidRPr="35A31DE5" w:rsidR="01A8E401">
        <w:rPr>
          <w:rFonts w:ascii="Times New Roman" w:hAnsi="Times New Roman" w:eastAsia="Times New Roman" w:cs="Times New Roman"/>
          <w:b w:val="1"/>
          <w:bCs w:val="1"/>
          <w:sz w:val="24"/>
          <w:szCs w:val="24"/>
        </w:rPr>
        <w:t>(</w:t>
      </w:r>
      <w:r w:rsidRPr="35A31DE5" w:rsidR="01A8E401">
        <w:rPr>
          <w:rFonts w:ascii="Times New Roman" w:hAnsi="Times New Roman" w:eastAsia="Times New Roman" w:cs="Times New Roman"/>
          <w:sz w:val="24"/>
          <w:szCs w:val="24"/>
        </w:rPr>
        <w:t>e.g., is the study conducted on the Clinical Research Unit (CRU), is the study supported by a GHUCCTS biostatistician, etc.)</w:t>
      </w:r>
      <w:r>
        <w:br/>
      </w:r>
      <w:r w:rsidRPr="35A31DE5" w:rsidR="01A8E401">
        <w:rPr>
          <w:rFonts w:ascii="Calibri" w:hAnsi="Calibri" w:eastAsia="Calibri" w:cs="Calibri"/>
          <w:sz w:val="24"/>
          <w:szCs w:val="24"/>
        </w:rPr>
        <w:t xml:space="preserve"> </w:t>
      </w:r>
    </w:p>
    <w:p w:rsidR="00410B0B" w:rsidP="6BF41D3A" w:rsidRDefault="5383272C" w14:paraId="108C7631" w14:textId="2FA1DDC7">
      <w:pPr>
        <w:pStyle w:val="Heading1"/>
        <w:spacing w:before="0"/>
        <w:rPr>
          <w:rFonts w:ascii="Times New Roman" w:hAnsi="Times New Roman" w:eastAsia="Times New Roman" w:cs="Times New Roman"/>
          <w:b/>
          <w:bCs/>
          <w:color w:val="auto"/>
          <w:sz w:val="28"/>
          <w:szCs w:val="28"/>
        </w:rPr>
      </w:pPr>
      <w:r w:rsidRPr="6BF41D3A">
        <w:rPr>
          <w:rFonts w:ascii="Times New Roman" w:hAnsi="Times New Roman" w:eastAsia="Times New Roman" w:cs="Times New Roman"/>
          <w:b/>
          <w:bCs/>
          <w:color w:val="auto"/>
          <w:sz w:val="28"/>
          <w:szCs w:val="28"/>
        </w:rPr>
        <w:t>1.0</w:t>
      </w:r>
      <w:r w:rsidRPr="6BF41D3A">
        <w:rPr>
          <w:rFonts w:ascii="Times New Roman" w:hAnsi="Times New Roman" w:eastAsia="Times New Roman" w:cs="Times New Roman"/>
          <w:b/>
          <w:bCs/>
          <w:color w:val="auto"/>
          <w:sz w:val="14"/>
          <w:szCs w:val="14"/>
        </w:rPr>
        <w:t xml:space="preserve">         </w:t>
      </w:r>
      <w:r w:rsidRPr="6BF41D3A">
        <w:rPr>
          <w:rFonts w:ascii="Times New Roman" w:hAnsi="Times New Roman" w:eastAsia="Times New Roman" w:cs="Times New Roman"/>
          <w:b/>
          <w:bCs/>
          <w:color w:val="auto"/>
          <w:sz w:val="28"/>
          <w:szCs w:val="28"/>
        </w:rPr>
        <w:t>Study Summary</w:t>
      </w:r>
    </w:p>
    <w:tbl>
      <w:tblPr>
        <w:tblW w:w="0" w:type="auto"/>
        <w:tblLayout w:type="fixed"/>
        <w:tblLook w:val="0400" w:firstRow="0" w:lastRow="0" w:firstColumn="0" w:lastColumn="0" w:noHBand="0" w:noVBand="1"/>
      </w:tblPr>
      <w:tblGrid>
        <w:gridCol w:w="2520"/>
        <w:gridCol w:w="6120"/>
      </w:tblGrid>
      <w:tr w:rsidR="5383272C" w:rsidTr="35A31DE5" w14:paraId="4D4D4F70" w14:textId="77777777">
        <w:tc>
          <w:tcPr>
            <w:tcW w:w="25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383272C" w:rsidP="35A31DE5" w:rsidRDefault="5383272C" w14:paraId="2CA641F7" w14:textId="472C5849">
            <w:pPr>
              <w:spacing w:after="0"/>
              <w:rPr>
                <w:rFonts w:ascii="Times New Roman" w:hAnsi="Times New Roman" w:eastAsia="Times New Roman" w:cs="Times New Roman"/>
                <w:b w:val="1"/>
                <w:bCs w:val="1"/>
                <w:sz w:val="22"/>
                <w:szCs w:val="22"/>
              </w:rPr>
            </w:pPr>
            <w:r w:rsidRPr="35A31DE5" w:rsidR="01A8E401">
              <w:rPr>
                <w:rFonts w:ascii="Times New Roman" w:hAnsi="Times New Roman" w:eastAsia="Times New Roman" w:cs="Times New Roman"/>
                <w:b w:val="1"/>
                <w:bCs w:val="1"/>
                <w:sz w:val="22"/>
                <w:szCs w:val="22"/>
              </w:rPr>
              <w:t>Study Title</w:t>
            </w:r>
          </w:p>
        </w:tc>
        <w:tc>
          <w:tcPr>
            <w:tcW w:w="61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383272C" w:rsidP="35A31DE5" w:rsidRDefault="5383272C" w14:paraId="18BE5A14" w14:textId="49F903F8">
            <w:pPr>
              <w:spacing w:after="0"/>
              <w:rPr>
                <w:rFonts w:ascii="Times New Roman" w:hAnsi="Times New Roman" w:eastAsia="Times New Roman" w:cs="Times New Roman"/>
                <w:sz w:val="22"/>
                <w:szCs w:val="22"/>
              </w:rPr>
            </w:pPr>
            <w:r w:rsidRPr="35A31DE5" w:rsidR="01A8E401">
              <w:rPr>
                <w:rFonts w:ascii="Times New Roman" w:hAnsi="Times New Roman" w:eastAsia="Times New Roman" w:cs="Times New Roman"/>
                <w:sz w:val="22"/>
                <w:szCs w:val="22"/>
              </w:rPr>
              <w:t xml:space="preserve">Racial and Ethnic Disparities in the Timeliness of Nephrology Care for Chronic Kidney Disease </w:t>
            </w:r>
          </w:p>
        </w:tc>
      </w:tr>
      <w:tr w:rsidR="5383272C" w:rsidTr="35A31DE5" w14:paraId="5A2C5ECC" w14:textId="77777777">
        <w:tc>
          <w:tcPr>
            <w:tcW w:w="25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383272C" w:rsidP="35A31DE5" w:rsidRDefault="5383272C" w14:paraId="7FC98A79" w14:textId="12CE88EE">
            <w:pPr>
              <w:spacing w:after="0"/>
              <w:rPr>
                <w:rFonts w:ascii="Times New Roman" w:hAnsi="Times New Roman" w:eastAsia="Times New Roman" w:cs="Times New Roman"/>
                <w:b w:val="1"/>
                <w:bCs w:val="1"/>
                <w:sz w:val="22"/>
                <w:szCs w:val="22"/>
              </w:rPr>
            </w:pPr>
            <w:r w:rsidRPr="35A31DE5" w:rsidR="01A8E401">
              <w:rPr>
                <w:rFonts w:ascii="Times New Roman" w:hAnsi="Times New Roman" w:eastAsia="Times New Roman" w:cs="Times New Roman"/>
                <w:b w:val="1"/>
                <w:bCs w:val="1"/>
                <w:sz w:val="22"/>
                <w:szCs w:val="22"/>
              </w:rPr>
              <w:t>Study Design</w:t>
            </w:r>
          </w:p>
        </w:tc>
        <w:tc>
          <w:tcPr>
            <w:tcW w:w="61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383272C" w:rsidP="35A31DE5" w:rsidRDefault="5383272C" w14:paraId="02317F0B" w14:textId="6A8A33C7">
            <w:pPr>
              <w:spacing w:after="0"/>
              <w:rPr>
                <w:rFonts w:ascii="Times New Roman" w:hAnsi="Times New Roman" w:eastAsia="Times New Roman" w:cs="Times New Roman"/>
                <w:sz w:val="22"/>
                <w:szCs w:val="22"/>
              </w:rPr>
            </w:pPr>
            <w:r w:rsidRPr="35A31DE5" w:rsidR="01A8E401">
              <w:rPr>
                <w:rFonts w:ascii="Times New Roman" w:hAnsi="Times New Roman" w:eastAsia="Times New Roman" w:cs="Times New Roman"/>
                <w:sz w:val="22"/>
                <w:szCs w:val="22"/>
              </w:rPr>
              <w:t>Retrospective analysis</w:t>
            </w:r>
          </w:p>
        </w:tc>
      </w:tr>
      <w:tr w:rsidR="5383272C" w:rsidTr="35A31DE5" w14:paraId="7B3336D8" w14:textId="77777777">
        <w:tc>
          <w:tcPr>
            <w:tcW w:w="25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383272C" w:rsidP="35A31DE5" w:rsidRDefault="5383272C" w14:paraId="71FAB77B" w14:textId="5A9D880D">
            <w:pPr>
              <w:spacing w:after="0"/>
              <w:rPr>
                <w:rFonts w:ascii="Times New Roman" w:hAnsi="Times New Roman" w:eastAsia="Times New Roman" w:cs="Times New Roman"/>
                <w:b w:val="1"/>
                <w:bCs w:val="1"/>
                <w:sz w:val="22"/>
                <w:szCs w:val="22"/>
              </w:rPr>
            </w:pPr>
            <w:r w:rsidRPr="35A31DE5" w:rsidR="01A8E401">
              <w:rPr>
                <w:rFonts w:ascii="Times New Roman" w:hAnsi="Times New Roman" w:eastAsia="Times New Roman" w:cs="Times New Roman"/>
                <w:b w:val="1"/>
                <w:bCs w:val="1"/>
                <w:sz w:val="22"/>
                <w:szCs w:val="22"/>
              </w:rPr>
              <w:t>Primary Objective</w:t>
            </w:r>
          </w:p>
        </w:tc>
        <w:tc>
          <w:tcPr>
            <w:tcW w:w="61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383272C" w:rsidP="35A31DE5" w:rsidRDefault="5383272C" w14:paraId="34EA1106" w14:textId="754F6939">
            <w:pPr>
              <w:spacing w:after="0"/>
              <w:rPr>
                <w:rFonts w:ascii="Times New Roman" w:hAnsi="Times New Roman" w:eastAsia="Times New Roman" w:cs="Times New Roman"/>
                <w:sz w:val="22"/>
                <w:szCs w:val="22"/>
              </w:rPr>
            </w:pPr>
            <w:r w:rsidRPr="35A31DE5" w:rsidR="01A8E401">
              <w:rPr>
                <w:rFonts w:ascii="Times New Roman" w:hAnsi="Times New Roman" w:eastAsia="Times New Roman" w:cs="Times New Roman"/>
                <w:sz w:val="22"/>
                <w:szCs w:val="22"/>
              </w:rPr>
              <w:t xml:space="preserve">To evaluate racial and/or ethnic disparities in the timeliness of nephrology care amongst patients with </w:t>
            </w:r>
            <w:r w:rsidRPr="35A31DE5" w:rsidR="01A8E401">
              <w:rPr>
                <w:rFonts w:ascii="Times New Roman" w:hAnsi="Times New Roman" w:eastAsia="Times New Roman" w:cs="Times New Roman"/>
                <w:sz w:val="22"/>
                <w:szCs w:val="22"/>
              </w:rPr>
              <w:t>newly diagnosed CKD</w:t>
            </w:r>
          </w:p>
        </w:tc>
      </w:tr>
      <w:tr w:rsidR="5383272C" w:rsidTr="35A31DE5" w14:paraId="0B0A0155" w14:textId="77777777">
        <w:tc>
          <w:tcPr>
            <w:tcW w:w="25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383272C" w:rsidP="35A31DE5" w:rsidRDefault="5383272C" w14:paraId="68103747" w14:textId="0A350EDB">
            <w:pPr>
              <w:spacing w:after="0"/>
              <w:rPr>
                <w:rFonts w:ascii="Times New Roman" w:hAnsi="Times New Roman" w:eastAsia="Times New Roman" w:cs="Times New Roman"/>
                <w:b w:val="1"/>
                <w:bCs w:val="1"/>
                <w:sz w:val="22"/>
                <w:szCs w:val="22"/>
              </w:rPr>
            </w:pPr>
            <w:r w:rsidRPr="35A31DE5" w:rsidR="01A8E401">
              <w:rPr>
                <w:rFonts w:ascii="Times New Roman" w:hAnsi="Times New Roman" w:eastAsia="Times New Roman" w:cs="Times New Roman"/>
                <w:b w:val="1"/>
                <w:bCs w:val="1"/>
                <w:sz w:val="22"/>
                <w:szCs w:val="22"/>
              </w:rPr>
              <w:t>Secondary Objective(s)</w:t>
            </w:r>
          </w:p>
        </w:tc>
        <w:tc>
          <w:tcPr>
            <w:tcW w:w="61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383272C" w:rsidP="35A31DE5" w:rsidRDefault="5383272C" w14:paraId="4EB04E1E" w14:textId="31393406">
            <w:pPr>
              <w:spacing w:after="0"/>
              <w:rPr>
                <w:rFonts w:ascii="Times New Roman" w:hAnsi="Times New Roman" w:eastAsia="Times New Roman" w:cs="Times New Roman"/>
                <w:sz w:val="22"/>
                <w:szCs w:val="22"/>
              </w:rPr>
            </w:pPr>
            <w:r w:rsidRPr="35A31DE5" w:rsidR="01A8E401">
              <w:rPr>
                <w:rFonts w:ascii="Times New Roman" w:hAnsi="Times New Roman" w:eastAsia="Times New Roman" w:cs="Times New Roman"/>
                <w:sz w:val="22"/>
                <w:szCs w:val="22"/>
              </w:rPr>
              <w:t>To identify factors associated with observed racial and/or ethnic disparities in timely nephrology care</w:t>
            </w:r>
          </w:p>
        </w:tc>
      </w:tr>
      <w:tr w:rsidR="5383272C" w:rsidTr="35A31DE5" w14:paraId="7CD57E19" w14:textId="77777777">
        <w:tc>
          <w:tcPr>
            <w:tcW w:w="25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383272C" w:rsidP="35A31DE5" w:rsidRDefault="5383272C" w14:paraId="090759E7" w14:textId="37370A51">
            <w:pPr>
              <w:spacing w:after="0"/>
              <w:rPr>
                <w:rFonts w:ascii="Times New Roman" w:hAnsi="Times New Roman" w:eastAsia="Times New Roman" w:cs="Times New Roman"/>
                <w:b w:val="1"/>
                <w:bCs w:val="1"/>
                <w:sz w:val="22"/>
                <w:szCs w:val="22"/>
              </w:rPr>
            </w:pPr>
            <w:r w:rsidRPr="35A31DE5" w:rsidR="01A8E401">
              <w:rPr>
                <w:rFonts w:ascii="Times New Roman" w:hAnsi="Times New Roman" w:eastAsia="Times New Roman" w:cs="Times New Roman"/>
                <w:b w:val="1"/>
                <w:bCs w:val="1"/>
                <w:sz w:val="22"/>
                <w:szCs w:val="22"/>
              </w:rPr>
              <w:t xml:space="preserve">Research Intervention(s)/ Investigational Agent(s) </w:t>
            </w:r>
          </w:p>
        </w:tc>
        <w:tc>
          <w:tcPr>
            <w:tcW w:w="61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383272C" w:rsidP="35A31DE5" w:rsidRDefault="5383272C" w14:paraId="2A6059DD" w14:textId="1B7587BA">
            <w:pPr>
              <w:spacing w:after="0"/>
              <w:rPr>
                <w:rFonts w:ascii="Times New Roman" w:hAnsi="Times New Roman" w:eastAsia="Times New Roman" w:cs="Times New Roman"/>
                <w:sz w:val="22"/>
                <w:szCs w:val="22"/>
              </w:rPr>
            </w:pPr>
            <w:r w:rsidRPr="35A31DE5" w:rsidR="01A8E401">
              <w:rPr>
                <w:rFonts w:ascii="Times New Roman" w:hAnsi="Times New Roman" w:eastAsia="Times New Roman" w:cs="Times New Roman"/>
                <w:sz w:val="22"/>
                <w:szCs w:val="22"/>
              </w:rPr>
              <w:t>NA</w:t>
            </w:r>
          </w:p>
        </w:tc>
      </w:tr>
      <w:tr w:rsidR="5383272C" w:rsidTr="35A31DE5" w14:paraId="4AC3CC7A" w14:textId="77777777">
        <w:tc>
          <w:tcPr>
            <w:tcW w:w="25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383272C" w:rsidP="35A31DE5" w:rsidRDefault="5383272C" w14:paraId="38931DDF" w14:textId="384AE630">
            <w:pPr>
              <w:spacing w:after="0"/>
              <w:rPr>
                <w:rFonts w:ascii="Times New Roman" w:hAnsi="Times New Roman" w:eastAsia="Times New Roman" w:cs="Times New Roman"/>
                <w:b w:val="1"/>
                <w:bCs w:val="1"/>
                <w:sz w:val="22"/>
                <w:szCs w:val="22"/>
              </w:rPr>
            </w:pPr>
            <w:r w:rsidRPr="35A31DE5" w:rsidR="01A8E401">
              <w:rPr>
                <w:rFonts w:ascii="Times New Roman" w:hAnsi="Times New Roman" w:eastAsia="Times New Roman" w:cs="Times New Roman"/>
                <w:b w:val="1"/>
                <w:bCs w:val="1"/>
                <w:sz w:val="22"/>
                <w:szCs w:val="22"/>
              </w:rPr>
              <w:t xml:space="preserve">IND/IDE # </w:t>
            </w:r>
          </w:p>
        </w:tc>
        <w:tc>
          <w:tcPr>
            <w:tcW w:w="61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383272C" w:rsidP="35A31DE5" w:rsidRDefault="5383272C" w14:paraId="735BD1E2" w14:textId="00042E8D">
            <w:pPr>
              <w:spacing w:after="0"/>
              <w:rPr>
                <w:rFonts w:ascii="Times New Roman" w:hAnsi="Times New Roman" w:eastAsia="Times New Roman" w:cs="Times New Roman"/>
                <w:sz w:val="22"/>
                <w:szCs w:val="22"/>
              </w:rPr>
            </w:pPr>
            <w:r w:rsidRPr="35A31DE5" w:rsidR="01A8E401">
              <w:rPr>
                <w:rFonts w:ascii="Times New Roman" w:hAnsi="Times New Roman" w:eastAsia="Times New Roman" w:cs="Times New Roman"/>
                <w:sz w:val="22"/>
                <w:szCs w:val="22"/>
              </w:rPr>
              <w:t>NA</w:t>
            </w:r>
          </w:p>
        </w:tc>
      </w:tr>
      <w:tr w:rsidR="5383272C" w:rsidTr="35A31DE5" w14:paraId="2A27F739" w14:textId="77777777">
        <w:tc>
          <w:tcPr>
            <w:tcW w:w="25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383272C" w:rsidP="35A31DE5" w:rsidRDefault="5383272C" w14:paraId="1613FD43" w14:textId="07EB5E97">
            <w:pPr>
              <w:spacing w:after="0"/>
              <w:rPr>
                <w:rFonts w:ascii="Times New Roman" w:hAnsi="Times New Roman" w:eastAsia="Times New Roman" w:cs="Times New Roman"/>
                <w:b w:val="1"/>
                <w:bCs w:val="1"/>
                <w:sz w:val="22"/>
                <w:szCs w:val="22"/>
              </w:rPr>
            </w:pPr>
            <w:r w:rsidRPr="35A31DE5" w:rsidR="01A8E401">
              <w:rPr>
                <w:rFonts w:ascii="Times New Roman" w:hAnsi="Times New Roman" w:eastAsia="Times New Roman" w:cs="Times New Roman"/>
                <w:b w:val="1"/>
                <w:bCs w:val="1"/>
                <w:sz w:val="22"/>
                <w:szCs w:val="22"/>
              </w:rPr>
              <w:t>Study Population</w:t>
            </w:r>
          </w:p>
        </w:tc>
        <w:tc>
          <w:tcPr>
            <w:tcW w:w="61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383272C" w:rsidP="35A31DE5" w:rsidRDefault="1B4A0375" w14:paraId="74B3D791" w14:textId="10D2CE1D">
            <w:pPr>
              <w:spacing w:after="0"/>
              <w:rPr>
                <w:rFonts w:ascii="Times New Roman" w:hAnsi="Times New Roman" w:eastAsia="Times New Roman" w:cs="Times New Roman"/>
                <w:color w:val="000000" w:themeColor="text1"/>
                <w:sz w:val="22"/>
                <w:szCs w:val="22"/>
              </w:rPr>
            </w:pPr>
            <w:r w:rsidRPr="35A31DE5" w:rsidR="34AFF8A6">
              <w:rPr>
                <w:rFonts w:ascii="Times New Roman" w:hAnsi="Times New Roman" w:eastAsia="Times New Roman" w:cs="Times New Roman"/>
                <w:color w:val="000000" w:themeColor="text1" w:themeTint="FF" w:themeShade="FF"/>
                <w:sz w:val="22"/>
                <w:szCs w:val="22"/>
              </w:rPr>
              <w:t xml:space="preserve">Includes all newly diagnosed </w:t>
            </w:r>
            <w:r w:rsidRPr="35A31DE5" w:rsidR="34AFF8A6">
              <w:rPr>
                <w:rFonts w:ascii="Times New Roman" w:hAnsi="Times New Roman" w:eastAsia="Times New Roman" w:cs="Times New Roman"/>
                <w:color w:val="000000" w:themeColor="text1" w:themeTint="FF" w:themeShade="FF"/>
                <w:sz w:val="22"/>
                <w:szCs w:val="22"/>
              </w:rPr>
              <w:t>CKD</w:t>
            </w:r>
            <w:r w:rsidRPr="35A31DE5" w:rsidR="34AFF8A6">
              <w:rPr>
                <w:rFonts w:ascii="Times New Roman" w:hAnsi="Times New Roman" w:eastAsia="Times New Roman" w:cs="Times New Roman"/>
                <w:color w:val="000000" w:themeColor="text1" w:themeTint="FF" w:themeShade="FF"/>
                <w:sz w:val="22"/>
                <w:szCs w:val="22"/>
              </w:rPr>
              <w:t xml:space="preserve"> Stage 3 and CKD Stage 4 patients with an eGFR between 15 and 59 </w:t>
            </w:r>
            <w:r w:rsidRPr="35A31DE5" w:rsidR="01A8E401">
              <w:rPr>
                <w:rFonts w:ascii="Times New Roman" w:hAnsi="Times New Roman" w:eastAsia="Times New Roman" w:cs="Times New Roman"/>
                <w:sz w:val="22"/>
                <w:szCs w:val="22"/>
              </w:rPr>
              <w:t>ml/min/173m</w:t>
            </w:r>
            <w:r w:rsidRPr="35A31DE5" w:rsidR="01A8E401">
              <w:rPr>
                <w:rFonts w:ascii="Times New Roman" w:hAnsi="Times New Roman" w:eastAsia="Times New Roman" w:cs="Times New Roman"/>
                <w:sz w:val="22"/>
                <w:szCs w:val="22"/>
                <w:vertAlign w:val="superscript"/>
              </w:rPr>
              <w:t>2</w:t>
            </w:r>
            <w:r w:rsidRPr="35A31DE5" w:rsidR="01A8E401">
              <w:rPr>
                <w:rFonts w:ascii="Times New Roman" w:hAnsi="Times New Roman" w:eastAsia="Times New Roman" w:cs="Times New Roman"/>
                <w:sz w:val="22"/>
                <w:szCs w:val="22"/>
              </w:rPr>
              <w:t xml:space="preserve"> </w:t>
            </w:r>
            <w:r w:rsidRPr="35A31DE5" w:rsidR="34AFF8A6">
              <w:rPr>
                <w:rFonts w:ascii="Times New Roman" w:hAnsi="Times New Roman" w:eastAsia="Times New Roman" w:cs="Times New Roman"/>
                <w:color w:val="000000" w:themeColor="text1" w:themeTint="FF" w:themeShade="FF"/>
                <w:sz w:val="22"/>
                <w:szCs w:val="22"/>
              </w:rPr>
              <w:t xml:space="preserve">who </w:t>
            </w:r>
            <w:proofErr w:type="gramStart"/>
            <w:r w:rsidRPr="35A31DE5" w:rsidR="34AFF8A6">
              <w:rPr>
                <w:rFonts w:ascii="Times New Roman" w:hAnsi="Times New Roman" w:eastAsia="Times New Roman" w:cs="Times New Roman"/>
                <w:color w:val="000000" w:themeColor="text1" w:themeTint="FF" w:themeShade="FF"/>
                <w:sz w:val="22"/>
                <w:szCs w:val="22"/>
              </w:rPr>
              <w:t>follow with</w:t>
            </w:r>
            <w:proofErr w:type="gramEnd"/>
            <w:r w:rsidRPr="35A31DE5" w:rsidR="34AFF8A6">
              <w:rPr>
                <w:rFonts w:ascii="Times New Roman" w:hAnsi="Times New Roman" w:eastAsia="Times New Roman" w:cs="Times New Roman"/>
                <w:color w:val="000000" w:themeColor="text1" w:themeTint="FF" w:themeShade="FF"/>
                <w:sz w:val="22"/>
                <w:szCs w:val="22"/>
              </w:rPr>
              <w:t xml:space="preserve"> MedStar primary care</w:t>
            </w:r>
          </w:p>
        </w:tc>
      </w:tr>
      <w:tr w:rsidR="5383272C" w:rsidTr="35A31DE5" w14:paraId="166DEDED" w14:textId="77777777">
        <w:tc>
          <w:tcPr>
            <w:tcW w:w="25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383272C" w:rsidP="35A31DE5" w:rsidRDefault="5383272C" w14:paraId="62BABAC6" w14:textId="25765C11">
            <w:pPr>
              <w:spacing w:after="0"/>
              <w:rPr>
                <w:rFonts w:ascii="Times New Roman" w:hAnsi="Times New Roman" w:eastAsia="Times New Roman" w:cs="Times New Roman"/>
                <w:b w:val="1"/>
                <w:bCs w:val="1"/>
                <w:sz w:val="22"/>
                <w:szCs w:val="22"/>
              </w:rPr>
            </w:pPr>
            <w:r w:rsidRPr="35A31DE5" w:rsidR="01A8E401">
              <w:rPr>
                <w:rFonts w:ascii="Times New Roman" w:hAnsi="Times New Roman" w:eastAsia="Times New Roman" w:cs="Times New Roman"/>
                <w:b w:val="1"/>
                <w:bCs w:val="1"/>
                <w:sz w:val="22"/>
                <w:szCs w:val="22"/>
              </w:rPr>
              <w:t>Sample Size</w:t>
            </w:r>
          </w:p>
        </w:tc>
        <w:tc>
          <w:tcPr>
            <w:tcW w:w="61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383272C" w:rsidP="35A31DE5" w:rsidRDefault="5383272C" w14:paraId="1B2A6140" w14:textId="54F2C88E">
            <w:pPr>
              <w:pStyle w:val="Normal"/>
              <w:spacing w:after="0"/>
              <w:rPr>
                <w:rFonts w:ascii="Times New Roman" w:hAnsi="Times New Roman" w:eastAsia="Times New Roman" w:cs="Times New Roman"/>
                <w:sz w:val="22"/>
                <w:szCs w:val="22"/>
              </w:rPr>
            </w:pPr>
            <w:r w:rsidRPr="35A31DE5" w:rsidR="35A31DE5">
              <w:rPr>
                <w:rFonts w:ascii="Times New Roman" w:hAnsi="Times New Roman" w:eastAsia="Times New Roman" w:cs="Times New Roman"/>
                <w:noProof w:val="0"/>
                <w:sz w:val="22"/>
                <w:szCs w:val="22"/>
                <w:lang w:val="en-US"/>
              </w:rPr>
              <w:t>Estimated sample of 200,000 subjects with newly diagnosed Stage 3 CKD or Stage 4 CKD</w:t>
            </w:r>
            <w:r w:rsidRPr="35A31DE5" w:rsidR="01A8E401">
              <w:rPr>
                <w:rFonts w:ascii="Times New Roman" w:hAnsi="Times New Roman" w:eastAsia="Times New Roman" w:cs="Times New Roman"/>
                <w:sz w:val="22"/>
                <w:szCs w:val="22"/>
              </w:rPr>
              <w:t xml:space="preserve"> </w:t>
            </w:r>
          </w:p>
        </w:tc>
      </w:tr>
      <w:tr w:rsidR="5383272C" w:rsidTr="35A31DE5" w14:paraId="6FB09CA8" w14:textId="77777777">
        <w:tc>
          <w:tcPr>
            <w:tcW w:w="25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383272C" w:rsidP="35A31DE5" w:rsidRDefault="5383272C" w14:paraId="7F6E7470" w14:textId="54D808E3">
            <w:pPr>
              <w:spacing w:after="0"/>
              <w:rPr>
                <w:rFonts w:ascii="Times New Roman" w:hAnsi="Times New Roman" w:eastAsia="Times New Roman" w:cs="Times New Roman"/>
                <w:b w:val="1"/>
                <w:bCs w:val="1"/>
                <w:sz w:val="22"/>
                <w:szCs w:val="22"/>
              </w:rPr>
            </w:pPr>
            <w:r w:rsidRPr="35A31DE5" w:rsidR="01A8E401">
              <w:rPr>
                <w:rFonts w:ascii="Times New Roman" w:hAnsi="Times New Roman" w:eastAsia="Times New Roman" w:cs="Times New Roman"/>
                <w:b w:val="1"/>
                <w:bCs w:val="1"/>
                <w:sz w:val="22"/>
                <w:szCs w:val="22"/>
              </w:rPr>
              <w:t>Study Duration for individual participants</w:t>
            </w:r>
          </w:p>
        </w:tc>
        <w:tc>
          <w:tcPr>
            <w:tcW w:w="61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383272C" w:rsidP="35A31DE5" w:rsidRDefault="5383272C" w14:paraId="68603A54" w14:textId="5B2D6409">
            <w:pPr>
              <w:spacing w:after="0"/>
              <w:rPr>
                <w:rFonts w:ascii="Times New Roman" w:hAnsi="Times New Roman" w:eastAsia="Times New Roman" w:cs="Times New Roman"/>
                <w:sz w:val="22"/>
                <w:szCs w:val="22"/>
              </w:rPr>
            </w:pPr>
            <w:r w:rsidRPr="35A31DE5" w:rsidR="01A8E401">
              <w:rPr>
                <w:rFonts w:ascii="Times New Roman" w:hAnsi="Times New Roman" w:eastAsia="Times New Roman" w:cs="Times New Roman"/>
                <w:sz w:val="22"/>
                <w:szCs w:val="22"/>
              </w:rPr>
              <w:t>NA, retrospective analysis of OHDSI data from January 1, 2017 to May 31, 2022</w:t>
            </w:r>
          </w:p>
        </w:tc>
      </w:tr>
      <w:tr w:rsidR="5383272C" w:rsidTr="35A31DE5" w14:paraId="5B180F45" w14:textId="77777777">
        <w:tc>
          <w:tcPr>
            <w:tcW w:w="25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383272C" w:rsidP="35A31DE5" w:rsidRDefault="5383272C" w14:paraId="1B160B92" w14:textId="35FE33C5">
            <w:pPr>
              <w:spacing w:after="0"/>
              <w:rPr>
                <w:rFonts w:ascii="Times New Roman" w:hAnsi="Times New Roman" w:eastAsia="Times New Roman" w:cs="Times New Roman"/>
                <w:b w:val="1"/>
                <w:bCs w:val="1"/>
                <w:sz w:val="22"/>
                <w:szCs w:val="22"/>
              </w:rPr>
            </w:pPr>
            <w:r w:rsidRPr="35A31DE5" w:rsidR="01A8E401">
              <w:rPr>
                <w:rFonts w:ascii="Times New Roman" w:hAnsi="Times New Roman" w:eastAsia="Times New Roman" w:cs="Times New Roman"/>
                <w:b w:val="1"/>
                <w:bCs w:val="1"/>
                <w:sz w:val="22"/>
                <w:szCs w:val="22"/>
              </w:rPr>
              <w:t xml:space="preserve">Study Specific Abbreviations/ Definitions </w:t>
            </w:r>
          </w:p>
        </w:tc>
        <w:tc>
          <w:tcPr>
            <w:tcW w:w="61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383272C" w:rsidP="35A31DE5" w:rsidRDefault="5383272C" w14:paraId="5F240111" w14:textId="63CDEE66">
            <w:pPr>
              <w:spacing w:after="0"/>
              <w:rPr>
                <w:rFonts w:ascii="Times New Roman" w:hAnsi="Times New Roman" w:eastAsia="Times New Roman" w:cs="Times New Roman"/>
                <w:color w:val="000000" w:themeColor="text1" w:themeTint="FF" w:themeShade="FF"/>
                <w:sz w:val="22"/>
                <w:szCs w:val="22"/>
              </w:rPr>
            </w:pPr>
            <w:r w:rsidRPr="35A31DE5" w:rsidR="01A8E401">
              <w:rPr>
                <w:rFonts w:ascii="Times New Roman" w:hAnsi="Times New Roman" w:eastAsia="Times New Roman" w:cs="Times New Roman"/>
                <w:color w:val="000000" w:themeColor="text1" w:themeTint="FF" w:themeShade="FF"/>
                <w:sz w:val="22"/>
                <w:szCs w:val="22"/>
              </w:rPr>
              <w:t xml:space="preserve">CKD = </w:t>
            </w:r>
            <w:proofErr w:type="gramStart"/>
            <w:r w:rsidRPr="35A31DE5" w:rsidR="01A8E401">
              <w:rPr>
                <w:rFonts w:ascii="Times New Roman" w:hAnsi="Times New Roman" w:eastAsia="Times New Roman" w:cs="Times New Roman"/>
                <w:color w:val="000000" w:themeColor="text1" w:themeTint="FF" w:themeShade="FF"/>
                <w:sz w:val="22"/>
                <w:szCs w:val="22"/>
              </w:rPr>
              <w:t>Chronic Kidney Disease</w:t>
            </w:r>
            <w:proofErr w:type="gramEnd"/>
          </w:p>
          <w:p w:rsidR="5383272C" w:rsidP="35A31DE5" w:rsidRDefault="1F9C4660" w14:paraId="5581938D" w14:textId="1FB3D3C0">
            <w:pPr>
              <w:spacing w:after="0"/>
              <w:rPr>
                <w:rFonts w:ascii="Times New Roman" w:hAnsi="Times New Roman" w:eastAsia="Times New Roman" w:cs="Times New Roman"/>
                <w:sz w:val="22"/>
                <w:szCs w:val="22"/>
                <w:highlight w:val="yellow"/>
              </w:rPr>
            </w:pPr>
            <w:r w:rsidRPr="35A31DE5" w:rsidR="738E3A35">
              <w:rPr>
                <w:rFonts w:ascii="Times New Roman" w:hAnsi="Times New Roman" w:eastAsia="Times New Roman" w:cs="Times New Roman"/>
                <w:color w:val="000000" w:themeColor="text1" w:themeTint="FF" w:themeShade="FF"/>
                <w:sz w:val="22"/>
                <w:szCs w:val="22"/>
              </w:rPr>
              <w:t xml:space="preserve">OHDSI = </w:t>
            </w:r>
            <w:r w:rsidRPr="35A31DE5" w:rsidR="01A8E401">
              <w:rPr>
                <w:rFonts w:ascii="Times New Roman" w:hAnsi="Times New Roman" w:eastAsia="Times New Roman" w:cs="Times New Roman"/>
                <w:sz w:val="22"/>
                <w:szCs w:val="22"/>
              </w:rPr>
              <w:t xml:space="preserve">Observational Health Data Sciences and </w:t>
            </w:r>
            <w:r w:rsidRPr="35A31DE5" w:rsidR="01A8E401">
              <w:rPr>
                <w:rFonts w:ascii="Times New Roman" w:hAnsi="Times New Roman" w:eastAsia="Times New Roman" w:cs="Times New Roman"/>
                <w:sz w:val="22"/>
                <w:szCs w:val="22"/>
              </w:rPr>
              <w:t>Informatics</w:t>
            </w:r>
            <w:r w:rsidRPr="35A31DE5" w:rsidR="01A8E401">
              <w:rPr>
                <w:rFonts w:ascii="Times New Roman" w:hAnsi="Times New Roman" w:eastAsia="Times New Roman" w:cs="Times New Roman"/>
                <w:color w:val="000000" w:themeColor="text1" w:themeTint="FF" w:themeShade="FF"/>
                <w:sz w:val="22"/>
                <w:szCs w:val="22"/>
              </w:rPr>
              <w:t xml:space="preserve"> </w:t>
            </w:r>
          </w:p>
          <w:p w:rsidR="5383272C" w:rsidP="35A31DE5" w:rsidRDefault="624E6FD9" w14:paraId="0518F449" w14:textId="0E693E14">
            <w:pPr>
              <w:spacing w:after="0"/>
              <w:rPr>
                <w:rFonts w:ascii="Times New Roman" w:hAnsi="Times New Roman" w:eastAsia="Times New Roman" w:cs="Times New Roman"/>
                <w:color w:val="000000" w:themeColor="text1"/>
                <w:sz w:val="22"/>
                <w:szCs w:val="22"/>
              </w:rPr>
            </w:pPr>
            <w:r w:rsidRPr="35A31DE5" w:rsidR="54809E90">
              <w:rPr>
                <w:rFonts w:ascii="Times New Roman" w:hAnsi="Times New Roman" w:eastAsia="Times New Roman" w:cs="Times New Roman"/>
                <w:color w:val="000000" w:themeColor="text1" w:themeTint="FF" w:themeShade="FF"/>
                <w:sz w:val="22"/>
                <w:szCs w:val="22"/>
              </w:rPr>
              <w:t>eGFR = estimated Glomerular Filtration Rate</w:t>
            </w:r>
          </w:p>
        </w:tc>
      </w:tr>
    </w:tbl>
    <w:p w:rsidR="00410B0B" w:rsidP="5383272C" w:rsidRDefault="5383272C" w14:paraId="3188CA95" w14:textId="6ACD9F9F">
      <w:pPr>
        <w:spacing w:after="0"/>
      </w:pPr>
      <w:r w:rsidRPr="5383272C">
        <w:rPr>
          <w:rFonts w:ascii="Calibri" w:hAnsi="Calibri" w:eastAsia="Calibri" w:cs="Calibri"/>
          <w:sz w:val="24"/>
          <w:szCs w:val="24"/>
        </w:rPr>
        <w:t xml:space="preserve"> </w:t>
      </w:r>
    </w:p>
    <w:p w:rsidR="00410B0B" w:rsidP="5383272C" w:rsidRDefault="5383272C" w14:paraId="0E54369A" w14:textId="1F8AAA5F">
      <w:pPr>
        <w:spacing w:after="0"/>
      </w:pPr>
      <w:r w:rsidRPr="5383272C">
        <w:rPr>
          <w:rFonts w:ascii="Calibri" w:hAnsi="Calibri" w:eastAsia="Calibri" w:cs="Calibri"/>
          <w:sz w:val="24"/>
          <w:szCs w:val="24"/>
        </w:rPr>
        <w:t xml:space="preserve"> </w:t>
      </w:r>
    </w:p>
    <w:p w:rsidR="00410B0B" w:rsidP="5383272C" w:rsidRDefault="00410B0B" w14:paraId="11005BE3" w14:textId="566CAC6F">
      <w:pPr>
        <w:spacing w:after="0"/>
        <w:rPr>
          <w:rFonts w:ascii="Calibri" w:hAnsi="Calibri" w:eastAsia="Calibri" w:cs="Calibri"/>
          <w:sz w:val="24"/>
          <w:szCs w:val="24"/>
        </w:rPr>
      </w:pPr>
    </w:p>
    <w:p w:rsidR="00410B0B" w:rsidP="5383272C" w:rsidRDefault="00410B0B" w14:paraId="11C1DFB3" w14:textId="3849C15C">
      <w:pPr>
        <w:spacing w:after="0"/>
        <w:rPr>
          <w:rFonts w:ascii="Calibri" w:hAnsi="Calibri" w:eastAsia="Calibri" w:cs="Calibri"/>
          <w:sz w:val="24"/>
          <w:szCs w:val="24"/>
        </w:rPr>
      </w:pPr>
    </w:p>
    <w:p w:rsidR="00410B0B" w:rsidP="5383272C" w:rsidRDefault="00410B0B" w14:paraId="081A0D7B" w14:textId="6735C79D">
      <w:pPr>
        <w:spacing w:after="0"/>
        <w:rPr>
          <w:rFonts w:ascii="Calibri" w:hAnsi="Calibri" w:eastAsia="Calibri" w:cs="Calibri"/>
          <w:sz w:val="24"/>
          <w:szCs w:val="24"/>
        </w:rPr>
      </w:pPr>
    </w:p>
    <w:p w:rsidR="00410B0B" w:rsidP="5383272C" w:rsidRDefault="00733427" w14:paraId="6F127A93" w14:textId="2CBF9225">
      <w:pPr>
        <w:spacing w:after="0"/>
      </w:pPr>
      <w:r>
        <w:br/>
      </w:r>
    </w:p>
    <w:p w:rsidR="00410B0B" w:rsidP="5383272C" w:rsidRDefault="5383272C" w14:paraId="0953ECFF" w14:textId="23ADDF8A">
      <w:pPr>
        <w:pStyle w:val="Heading1"/>
        <w:spacing w:before="0"/>
        <w:rPr>
          <w:rFonts w:ascii="Times New Roman" w:hAnsi="Times New Roman" w:eastAsia="Times New Roman" w:cs="Times New Roman"/>
          <w:b/>
          <w:bCs/>
          <w:color w:val="auto"/>
          <w:sz w:val="28"/>
          <w:szCs w:val="28"/>
        </w:rPr>
      </w:pPr>
      <w:r w:rsidRPr="5383272C">
        <w:rPr>
          <w:rFonts w:ascii="Times New Roman" w:hAnsi="Times New Roman" w:eastAsia="Times New Roman" w:cs="Times New Roman"/>
          <w:b/>
          <w:bCs/>
          <w:color w:val="auto"/>
          <w:sz w:val="28"/>
          <w:szCs w:val="28"/>
        </w:rPr>
        <w:t>2.0         Objectives*</w:t>
      </w:r>
    </w:p>
    <w:p w:rsidR="00410B0B" w:rsidP="35A31DE5" w:rsidRDefault="5383272C" w14:paraId="140B95A0" w14:textId="01E9A6AF">
      <w:pPr>
        <w:pStyle w:val="ListParagraph"/>
        <w:numPr>
          <w:ilvl w:val="1"/>
          <w:numId w:val="12"/>
        </w:numPr>
        <w:spacing w:after="0"/>
        <w:rPr>
          <w:rFonts w:ascii="Times New Roman" w:hAnsi="Times New Roman" w:eastAsia="Times New Roman" w:cs="Times New Roman"/>
          <w:sz w:val="24"/>
          <w:szCs w:val="24"/>
        </w:rPr>
      </w:pPr>
      <w:r w:rsidRPr="35A31DE5" w:rsidR="01A8E401">
        <w:rPr>
          <w:rFonts w:ascii="Times New Roman" w:hAnsi="Times New Roman" w:eastAsia="Times New Roman" w:cs="Times New Roman"/>
          <w:sz w:val="24"/>
          <w:szCs w:val="24"/>
        </w:rPr>
        <w:t xml:space="preserve">The goal of this project is to evaluate racial and/or ethnic disparities in the timeliness of </w:t>
      </w:r>
      <w:proofErr w:type="gramStart"/>
      <w:r w:rsidRPr="35A31DE5" w:rsidR="01A8E401">
        <w:rPr>
          <w:rFonts w:ascii="Times New Roman" w:hAnsi="Times New Roman" w:eastAsia="Times New Roman" w:cs="Times New Roman"/>
          <w:sz w:val="24"/>
          <w:szCs w:val="24"/>
        </w:rPr>
        <w:t>first</w:t>
      </w:r>
      <w:proofErr w:type="gramEnd"/>
      <w:r w:rsidRPr="35A31DE5" w:rsidR="01A8E401">
        <w:rPr>
          <w:rFonts w:ascii="Times New Roman" w:hAnsi="Times New Roman" w:eastAsia="Times New Roman" w:cs="Times New Roman"/>
          <w:sz w:val="24"/>
          <w:szCs w:val="24"/>
        </w:rPr>
        <w:t xml:space="preserve"> nephrology outpatient encounter, for patients with newly diagnosed chronic kidney disease.</w:t>
      </w:r>
    </w:p>
    <w:p w:rsidR="00410B0B" w:rsidP="35A31DE5" w:rsidRDefault="5383272C" w14:paraId="6B93D258" w14:textId="0B2ABA50">
      <w:pPr>
        <w:pStyle w:val="ListParagraph"/>
        <w:numPr>
          <w:ilvl w:val="1"/>
          <w:numId w:val="12"/>
        </w:numPr>
        <w:spacing w:after="0"/>
        <w:rPr>
          <w:rFonts w:ascii="Times New Roman" w:hAnsi="Times New Roman" w:eastAsia="Times New Roman" w:cs="Times New Roman"/>
          <w:sz w:val="24"/>
          <w:szCs w:val="24"/>
        </w:rPr>
      </w:pPr>
      <w:r w:rsidRPr="35A31DE5" w:rsidR="01A8E401">
        <w:rPr>
          <w:rFonts w:ascii="Times New Roman" w:hAnsi="Times New Roman" w:eastAsia="Times New Roman" w:cs="Times New Roman"/>
          <w:sz w:val="24"/>
          <w:szCs w:val="24"/>
        </w:rPr>
        <w:t>Our secondary objective is to identify the factors associated with observed racial and/or ethnic disparities in the first nephrology visit.</w:t>
      </w:r>
    </w:p>
    <w:p w:rsidR="00410B0B" w:rsidP="35A31DE5" w:rsidRDefault="00410B0B" w14:paraId="260D0A70" w14:textId="53A99FB9">
      <w:pPr>
        <w:spacing w:after="0"/>
        <w:ind w:left="720"/>
        <w:rPr>
          <w:rFonts w:ascii="Times New Roman" w:hAnsi="Times New Roman" w:eastAsia="Times New Roman" w:cs="Times New Roman"/>
          <w:sz w:val="24"/>
          <w:szCs w:val="24"/>
        </w:rPr>
      </w:pPr>
    </w:p>
    <w:p w:rsidR="00335132" w:rsidP="35A31DE5" w:rsidRDefault="00335132" w14:paraId="59D58685" w14:textId="19EA0BB7">
      <w:pPr>
        <w:spacing w:after="0"/>
        <w:rPr>
          <w:rFonts w:ascii="Times New Roman" w:hAnsi="Times New Roman" w:eastAsia="Times New Roman" w:cs="Times New Roman"/>
          <w:b w:val="1"/>
          <w:bCs w:val="1"/>
          <w:sz w:val="28"/>
          <w:szCs w:val="28"/>
        </w:rPr>
      </w:pPr>
      <w:r w:rsidRPr="35A31DE5" w:rsidR="01A8E401">
        <w:rPr>
          <w:rFonts w:ascii="Times New Roman" w:hAnsi="Times New Roman" w:eastAsia="Times New Roman" w:cs="Times New Roman"/>
          <w:b w:val="1"/>
          <w:bCs w:val="1"/>
          <w:sz w:val="28"/>
          <w:szCs w:val="28"/>
        </w:rPr>
        <w:t>3.0     Background*</w:t>
      </w:r>
    </w:p>
    <w:p w:rsidR="00335132" w:rsidP="35A31DE5" w:rsidRDefault="00335132" w14:paraId="2D4AB137" w14:textId="622C8024">
      <w:pPr>
        <w:spacing w:after="120" w:line="240" w:lineRule="auto"/>
        <w:rPr>
          <w:rFonts w:ascii="Times New Roman" w:hAnsi="Times New Roman" w:eastAsia="Times New Roman" w:cs="Times New Roman"/>
          <w:sz w:val="24"/>
          <w:szCs w:val="24"/>
        </w:rPr>
      </w:pPr>
      <w:r w:rsidRPr="35A31DE5" w:rsidR="6B875B36">
        <w:rPr>
          <w:rFonts w:ascii="Times New Roman" w:hAnsi="Times New Roman" w:eastAsia="Times New Roman" w:cs="Times New Roman"/>
          <w:sz w:val="24"/>
          <w:szCs w:val="24"/>
        </w:rPr>
        <w:t>CKD is a global public health challenge that places a significant economic burden on patients and health systems throughout the United States.</w:t>
      </w:r>
      <w:r w:rsidRPr="35A31DE5" w:rsidR="6B875B36">
        <w:rPr>
          <w:rFonts w:ascii="Times New Roman" w:hAnsi="Times New Roman" w:eastAsia="Times New Roman" w:cs="Times New Roman"/>
          <w:sz w:val="24"/>
          <w:szCs w:val="24"/>
          <w:vertAlign w:val="superscript"/>
        </w:rPr>
        <w:t>1</w:t>
      </w:r>
      <w:r w:rsidRPr="35A31DE5" w:rsidR="6B875B36">
        <w:rPr>
          <w:rFonts w:ascii="Times New Roman" w:hAnsi="Times New Roman" w:eastAsia="Times New Roman" w:cs="Times New Roman"/>
          <w:sz w:val="24"/>
          <w:szCs w:val="24"/>
        </w:rPr>
        <w:t xml:space="preserve"> Prior research has demonstrated that early nephrology referral in patients with newly diagnosed CKD results in lower mortality, lower hospitalization rates</w:t>
      </w:r>
      <w:r w:rsidRPr="35A31DE5" w:rsidR="6B875B36">
        <w:rPr>
          <w:rFonts w:ascii="Times New Roman" w:hAnsi="Times New Roman" w:eastAsia="Times New Roman" w:cs="Times New Roman"/>
          <w:sz w:val="24"/>
          <w:szCs w:val="24"/>
        </w:rPr>
        <w:t>,</w:t>
      </w:r>
      <w:r w:rsidRPr="35A31DE5" w:rsidR="6B875B36">
        <w:rPr>
          <w:rFonts w:ascii="Times New Roman" w:hAnsi="Times New Roman" w:eastAsia="Times New Roman" w:cs="Times New Roman"/>
          <w:sz w:val="24"/>
          <w:szCs w:val="24"/>
        </w:rPr>
        <w:t xml:space="preserve"> and improved outcomes.</w:t>
      </w:r>
      <w:r w:rsidRPr="35A31DE5" w:rsidR="6B875B36">
        <w:rPr>
          <w:rFonts w:ascii="Times New Roman" w:hAnsi="Times New Roman" w:eastAsia="Times New Roman" w:cs="Times New Roman"/>
          <w:sz w:val="24"/>
          <w:szCs w:val="24"/>
          <w:vertAlign w:val="superscript"/>
        </w:rPr>
        <w:t>2</w:t>
      </w:r>
      <w:r w:rsidRPr="35A31DE5" w:rsidR="6B875B36">
        <w:rPr>
          <w:rFonts w:ascii="Times New Roman" w:hAnsi="Times New Roman" w:eastAsia="Times New Roman" w:cs="Times New Roman"/>
          <w:sz w:val="24"/>
          <w:szCs w:val="24"/>
        </w:rPr>
        <w:t>-</w:t>
      </w:r>
      <w:proofErr w:type="gramStart"/>
      <w:r w:rsidRPr="35A31DE5" w:rsidR="6B875B36">
        <w:rPr>
          <w:rFonts w:ascii="Times New Roman" w:hAnsi="Times New Roman" w:eastAsia="Times New Roman" w:cs="Times New Roman"/>
          <w:sz w:val="24"/>
          <w:szCs w:val="24"/>
          <w:vertAlign w:val="superscript"/>
        </w:rPr>
        <w:t xml:space="preserve">3  </w:t>
      </w:r>
      <w:r w:rsidRPr="35A31DE5" w:rsidR="6B875B36">
        <w:rPr>
          <w:rFonts w:ascii="Times New Roman" w:hAnsi="Times New Roman" w:eastAsia="Times New Roman" w:cs="Times New Roman"/>
          <w:sz w:val="24"/>
          <w:szCs w:val="24"/>
        </w:rPr>
        <w:t>Timely</w:t>
      </w:r>
      <w:proofErr w:type="gramEnd"/>
      <w:r w:rsidRPr="35A31DE5" w:rsidR="6B875B36">
        <w:rPr>
          <w:rFonts w:ascii="Times New Roman" w:hAnsi="Times New Roman" w:eastAsia="Times New Roman" w:cs="Times New Roman"/>
          <w:sz w:val="24"/>
          <w:szCs w:val="24"/>
        </w:rPr>
        <w:t xml:space="preserve"> nephrology care can prevent delayed initiation of renal replacement therapy and delayed referral for transplantation. These results signify the importance of timely follow-up for patients with newly diagnosed </w:t>
      </w:r>
      <w:proofErr w:type="gramStart"/>
      <w:r w:rsidRPr="35A31DE5" w:rsidR="6B875B36">
        <w:rPr>
          <w:rFonts w:ascii="Times New Roman" w:hAnsi="Times New Roman" w:eastAsia="Times New Roman" w:cs="Times New Roman"/>
          <w:sz w:val="24"/>
          <w:szCs w:val="24"/>
        </w:rPr>
        <w:t>Chronic Kidney Disease</w:t>
      </w:r>
      <w:proofErr w:type="gramEnd"/>
      <w:r w:rsidRPr="35A31DE5" w:rsidR="6B875B36">
        <w:rPr>
          <w:rFonts w:ascii="Times New Roman" w:hAnsi="Times New Roman" w:eastAsia="Times New Roman" w:cs="Times New Roman"/>
          <w:sz w:val="24"/>
          <w:szCs w:val="24"/>
        </w:rPr>
        <w:t xml:space="preserve">. </w:t>
      </w:r>
    </w:p>
    <w:p w:rsidR="00335132" w:rsidP="35A31DE5" w:rsidRDefault="00335132" w14:paraId="653C93CC" w14:textId="33145B23">
      <w:pPr>
        <w:spacing w:line="240" w:lineRule="auto"/>
        <w:rPr>
          <w:rFonts w:ascii="Times New Roman" w:hAnsi="Times New Roman" w:eastAsia="Times New Roman" w:cs="Times New Roman"/>
          <w:sz w:val="24"/>
          <w:szCs w:val="24"/>
        </w:rPr>
      </w:pPr>
      <w:r w:rsidRPr="35A31DE5" w:rsidR="6B875B36">
        <w:rPr>
          <w:rFonts w:ascii="Times New Roman" w:hAnsi="Times New Roman" w:eastAsia="Times New Roman" w:cs="Times New Roman"/>
          <w:color w:val="000000" w:themeColor="text1" w:themeTint="FF" w:themeShade="FF"/>
          <w:sz w:val="24"/>
          <w:szCs w:val="24"/>
        </w:rPr>
        <w:t>Despite an almost equal prevalence of Chronic Kidney Disease among Non-Hispanic Black and Non-Hispanic White populations,</w:t>
      </w:r>
      <w:r w:rsidRPr="35A31DE5" w:rsidR="6B875B36">
        <w:rPr>
          <w:rFonts w:ascii="Times New Roman" w:hAnsi="Times New Roman" w:eastAsia="Times New Roman" w:cs="Times New Roman"/>
          <w:color w:val="000000" w:themeColor="text1" w:themeTint="FF" w:themeShade="FF"/>
          <w:sz w:val="24"/>
          <w:szCs w:val="24"/>
          <w:vertAlign w:val="superscript"/>
        </w:rPr>
        <w:t>4-6</w:t>
      </w:r>
      <w:r w:rsidRPr="35A31DE5" w:rsidR="6B875B36">
        <w:rPr>
          <w:rFonts w:ascii="Times New Roman" w:hAnsi="Times New Roman" w:eastAsia="Times New Roman" w:cs="Times New Roman"/>
          <w:color w:val="000000" w:themeColor="text1" w:themeTint="FF" w:themeShade="FF"/>
          <w:sz w:val="24"/>
          <w:szCs w:val="24"/>
        </w:rPr>
        <w:t xml:space="preserve"> there are known disparities in the progression and treatment of Chronic Kidney Disease between </w:t>
      </w:r>
      <w:r w:rsidRPr="35A31DE5" w:rsidR="01A8E401">
        <w:rPr>
          <w:rFonts w:ascii="Times New Roman" w:hAnsi="Times New Roman" w:eastAsia="Times New Roman" w:cs="Times New Roman"/>
          <w:color w:val="000000" w:themeColor="text1" w:themeTint="FF" w:themeShade="FF"/>
          <w:sz w:val="24"/>
          <w:szCs w:val="24"/>
        </w:rPr>
        <w:t xml:space="preserve">Non-Hispanic Black and Hispanic/Latinx </w:t>
      </w:r>
      <w:r w:rsidRPr="35A31DE5" w:rsidR="6B875B36">
        <w:rPr>
          <w:rFonts w:ascii="Times New Roman" w:hAnsi="Times New Roman" w:eastAsia="Times New Roman" w:cs="Times New Roman"/>
          <w:color w:val="000000" w:themeColor="text1" w:themeTint="FF" w:themeShade="FF"/>
          <w:sz w:val="24"/>
          <w:szCs w:val="24"/>
        </w:rPr>
        <w:t>populations compared to non-Hispanic White populations.</w:t>
      </w:r>
      <w:r w:rsidRPr="35A31DE5" w:rsidR="6B875B36">
        <w:rPr>
          <w:rFonts w:ascii="Times New Roman" w:hAnsi="Times New Roman" w:eastAsia="Times New Roman" w:cs="Times New Roman"/>
          <w:color w:val="000000" w:themeColor="text1" w:themeTint="FF" w:themeShade="FF"/>
          <w:sz w:val="24"/>
          <w:szCs w:val="24"/>
          <w:vertAlign w:val="superscript"/>
        </w:rPr>
        <w:t xml:space="preserve">7  </w:t>
      </w:r>
      <w:r w:rsidRPr="35A31DE5" w:rsidR="6B875B36">
        <w:rPr>
          <w:rFonts w:ascii="Times New Roman" w:hAnsi="Times New Roman" w:eastAsia="Times New Roman" w:cs="Times New Roman"/>
          <w:color w:val="000000" w:themeColor="text1" w:themeTint="FF" w:themeShade="FF"/>
          <w:sz w:val="24"/>
          <w:szCs w:val="24"/>
        </w:rPr>
        <w:t>P</w:t>
      </w:r>
      <w:r w:rsidRPr="35A31DE5" w:rsidR="6B875B36">
        <w:rPr>
          <w:rFonts w:ascii="Times New Roman" w:hAnsi="Times New Roman" w:eastAsia="Times New Roman" w:cs="Times New Roman"/>
          <w:color w:val="000000" w:themeColor="text1" w:themeTint="FF" w:themeShade="FF"/>
          <w:sz w:val="24"/>
          <w:szCs w:val="24"/>
        </w:rPr>
        <w:t xml:space="preserve">rior research that has examined </w:t>
      </w:r>
      <w:r w:rsidRPr="35A31DE5" w:rsidR="6B875B36">
        <w:rPr>
          <w:rFonts w:ascii="Times New Roman" w:hAnsi="Times New Roman" w:eastAsia="Times New Roman" w:cs="Times New Roman"/>
          <w:color w:val="000000" w:themeColor="text1" w:themeTint="FF" w:themeShade="FF"/>
          <w:sz w:val="24"/>
          <w:szCs w:val="24"/>
        </w:rPr>
        <w:t>timeliness</w:t>
      </w:r>
      <w:r w:rsidRPr="35A31DE5" w:rsidR="6B875B36">
        <w:rPr>
          <w:rFonts w:ascii="Times New Roman" w:hAnsi="Times New Roman" w:eastAsia="Times New Roman" w:cs="Times New Roman"/>
          <w:color w:val="000000" w:themeColor="text1" w:themeTint="FF" w:themeShade="FF"/>
          <w:sz w:val="24"/>
          <w:szCs w:val="24"/>
        </w:rPr>
        <w:t xml:space="preserve"> of nephrology care has shown a lower odds of early nephrology care in Black populations than in White populations.</w:t>
      </w:r>
      <w:r w:rsidRPr="35A31DE5" w:rsidR="6B875B36">
        <w:rPr>
          <w:rFonts w:ascii="Times New Roman" w:hAnsi="Times New Roman" w:eastAsia="Times New Roman" w:cs="Times New Roman"/>
          <w:color w:val="000000" w:themeColor="text1" w:themeTint="FF" w:themeShade="FF"/>
          <w:sz w:val="24"/>
          <w:szCs w:val="24"/>
          <w:vertAlign w:val="superscript"/>
        </w:rPr>
        <w:t xml:space="preserve">8-11 </w:t>
      </w:r>
      <w:r w:rsidRPr="35A31DE5" w:rsidR="6B875B36">
        <w:rPr>
          <w:rFonts w:ascii="Times New Roman" w:hAnsi="Times New Roman" w:eastAsia="Times New Roman" w:cs="Times New Roman"/>
          <w:color w:val="000000" w:themeColor="text1" w:themeTint="FF" w:themeShade="FF"/>
          <w:sz w:val="24"/>
          <w:szCs w:val="24"/>
        </w:rPr>
        <w:t>However, research in this area has been limited with defining timeliness of care based on months before onset of dialysis, which may be confounded by the rate of progression of disease and other factors.</w:t>
      </w:r>
      <w:r w:rsidRPr="35A31DE5" w:rsidR="6B875B36">
        <w:rPr>
          <w:rFonts w:ascii="Times New Roman" w:hAnsi="Times New Roman" w:eastAsia="Times New Roman" w:cs="Times New Roman"/>
          <w:color w:val="000000" w:themeColor="text1" w:themeTint="FF" w:themeShade="FF"/>
          <w:sz w:val="24"/>
          <w:szCs w:val="24"/>
        </w:rPr>
        <w:t xml:space="preserve"> </w:t>
      </w:r>
      <w:r w:rsidRPr="35A31DE5" w:rsidR="6B875B36">
        <w:rPr>
          <w:rFonts w:ascii="Times New Roman" w:hAnsi="Times New Roman" w:eastAsia="Times New Roman" w:cs="Times New Roman"/>
          <w:sz w:val="24"/>
          <w:szCs w:val="24"/>
        </w:rPr>
        <w:t xml:space="preserve">Thus, there is a need to establish whether or not racial and/or ethnic </w:t>
      </w:r>
      <w:r w:rsidRPr="35A31DE5" w:rsidR="6B875B36">
        <w:rPr>
          <w:rFonts w:ascii="Times New Roman" w:hAnsi="Times New Roman" w:eastAsia="Times New Roman" w:cs="Times New Roman"/>
          <w:sz w:val="24"/>
          <w:szCs w:val="24"/>
        </w:rPr>
        <w:t>disparities exist in the timeliness of nephrology care based on criteria using laboratory values indicating the presence of newly diagnosed CKD and need for nephrology c</w:t>
      </w:r>
      <w:r w:rsidRPr="35A31DE5" w:rsidR="6B875B36">
        <w:rPr>
          <w:rFonts w:ascii="Times New Roman" w:hAnsi="Times New Roman" w:eastAsia="Times New Roman" w:cs="Times New Roman"/>
          <w:sz w:val="24"/>
          <w:szCs w:val="24"/>
        </w:rPr>
        <w:t xml:space="preserve">are. </w:t>
      </w:r>
    </w:p>
    <w:p w:rsidR="00335132" w:rsidP="35A31DE5" w:rsidRDefault="00335132" w14:paraId="0DD6B400" w14:textId="58F7B3D4">
      <w:pPr>
        <w:spacing w:line="240" w:lineRule="auto"/>
        <w:rPr>
          <w:rFonts w:ascii="Times New Roman" w:hAnsi="Times New Roman" w:eastAsia="Times New Roman" w:cs="Times New Roman"/>
          <w:sz w:val="24"/>
          <w:szCs w:val="24"/>
        </w:rPr>
      </w:pPr>
      <w:r w:rsidRPr="35A31DE5" w:rsidR="6B875B36">
        <w:rPr>
          <w:rFonts w:ascii="Times New Roman" w:hAnsi="Times New Roman" w:eastAsia="Times New Roman" w:cs="Times New Roman"/>
          <w:sz w:val="24"/>
          <w:szCs w:val="24"/>
        </w:rPr>
        <w:t xml:space="preserve">This analytic approach will leverage access to EHR data and advance our understanding of disparities in timely nephrology care, including an evaluation of factors associated with observed disparities. If there are observed racial and/or ethnic disparities in the timeliness of nephrology care, this insight will not only guide national strategies designed to target timely identification and management, but also will increase awareness among health care providers to </w:t>
      </w:r>
      <w:r w:rsidRPr="35A31DE5" w:rsidR="6B875B36">
        <w:rPr>
          <w:rFonts w:ascii="Times New Roman" w:hAnsi="Times New Roman" w:eastAsia="Times New Roman" w:cs="Times New Roman"/>
          <w:sz w:val="24"/>
          <w:szCs w:val="24"/>
        </w:rPr>
        <w:t>optimize integrated care for historically marginalized patients with CKD.</w:t>
      </w:r>
    </w:p>
    <w:p w:rsidR="00410B0B" w:rsidP="5383272C" w:rsidRDefault="00410B0B" w14:paraId="0354011C" w14:textId="03F9BD01">
      <w:pPr>
        <w:spacing w:after="0"/>
        <w:rPr>
          <w:rFonts w:ascii="Times New Roman" w:hAnsi="Times New Roman" w:eastAsia="Times New Roman" w:cs="Times New Roman"/>
          <w:b/>
          <w:bCs/>
          <w:sz w:val="24"/>
          <w:szCs w:val="24"/>
        </w:rPr>
      </w:pPr>
    </w:p>
    <w:p w:rsidR="00410B0B" w:rsidP="5383272C" w:rsidRDefault="5383272C" w14:paraId="66A10789" w14:textId="2F6E7E0A">
      <w:pPr>
        <w:pStyle w:val="Heading1"/>
        <w:spacing w:before="0"/>
        <w:rPr>
          <w:rFonts w:ascii="Times New Roman" w:hAnsi="Times New Roman" w:eastAsia="Times New Roman" w:cs="Times New Roman"/>
          <w:b/>
          <w:bCs/>
          <w:color w:val="auto"/>
          <w:sz w:val="28"/>
          <w:szCs w:val="28"/>
        </w:rPr>
      </w:pPr>
      <w:r w:rsidRPr="5383272C">
        <w:rPr>
          <w:rFonts w:ascii="Times New Roman" w:hAnsi="Times New Roman" w:eastAsia="Times New Roman" w:cs="Times New Roman"/>
          <w:b/>
          <w:bCs/>
          <w:color w:val="auto"/>
          <w:sz w:val="28"/>
          <w:szCs w:val="28"/>
        </w:rPr>
        <w:t>4.0</w:t>
      </w:r>
      <w:r w:rsidRPr="5383272C">
        <w:rPr>
          <w:rFonts w:ascii="Times New Roman" w:hAnsi="Times New Roman" w:eastAsia="Times New Roman" w:cs="Times New Roman"/>
          <w:b/>
          <w:bCs/>
          <w:color w:val="auto"/>
          <w:sz w:val="14"/>
          <w:szCs w:val="14"/>
        </w:rPr>
        <w:t xml:space="preserve">         </w:t>
      </w:r>
      <w:r w:rsidRPr="5383272C">
        <w:rPr>
          <w:rFonts w:ascii="Times New Roman" w:hAnsi="Times New Roman" w:eastAsia="Times New Roman" w:cs="Times New Roman"/>
          <w:b/>
          <w:bCs/>
          <w:color w:val="auto"/>
          <w:sz w:val="28"/>
          <w:szCs w:val="28"/>
        </w:rPr>
        <w:t>Study Endpoints*</w:t>
      </w:r>
    </w:p>
    <w:p w:rsidR="00410B0B" w:rsidP="35A31DE5" w:rsidRDefault="5383272C" w14:paraId="0A3CA750" w14:textId="180314C8">
      <w:pPr>
        <w:spacing w:after="0"/>
        <w:rPr>
          <w:rFonts w:ascii="Times New Roman" w:hAnsi="Times New Roman" w:eastAsia="Times New Roman" w:cs="Times New Roman"/>
          <w:sz w:val="24"/>
          <w:szCs w:val="24"/>
        </w:rPr>
      </w:pPr>
      <w:r w:rsidRPr="35A31DE5" w:rsidR="01A8E401">
        <w:rPr>
          <w:rFonts w:ascii="Times New Roman" w:hAnsi="Times New Roman" w:eastAsia="Times New Roman" w:cs="Times New Roman"/>
          <w:sz w:val="24"/>
          <w:szCs w:val="24"/>
        </w:rPr>
        <w:t>4.1 Primary outcomes:</w:t>
      </w:r>
    </w:p>
    <w:p w:rsidR="00410B0B" w:rsidP="35A31DE5" w:rsidRDefault="00410B0B" w14:paraId="231749FD" w14:textId="338557E8">
      <w:pPr>
        <w:spacing w:after="0"/>
        <w:ind w:left="720"/>
        <w:rPr>
          <w:rFonts w:ascii="Times New Roman" w:hAnsi="Times New Roman" w:eastAsia="Times New Roman" w:cs="Times New Roman"/>
          <w:sz w:val="24"/>
          <w:szCs w:val="24"/>
        </w:rPr>
      </w:pPr>
    </w:p>
    <w:p w:rsidR="00410B0B" w:rsidP="35A31DE5" w:rsidRDefault="5383272C" w14:paraId="40AA9395" w14:textId="28FC3906">
      <w:pPr>
        <w:pStyle w:val="ListParagraph"/>
        <w:numPr>
          <w:ilvl w:val="0"/>
          <w:numId w:val="11"/>
        </w:numPr>
        <w:spacing w:after="0"/>
        <w:rPr>
          <w:rFonts w:ascii="Times New Roman" w:hAnsi="Times New Roman" w:eastAsia="Times New Roman" w:cs="Times New Roman"/>
          <w:sz w:val="24"/>
          <w:szCs w:val="24"/>
        </w:rPr>
      </w:pPr>
      <w:r w:rsidRPr="35A31DE5" w:rsidR="01A8E401">
        <w:rPr>
          <w:rFonts w:ascii="Times New Roman" w:hAnsi="Times New Roman" w:eastAsia="Times New Roman" w:cs="Times New Roman"/>
          <w:sz w:val="24"/>
          <w:szCs w:val="24"/>
        </w:rPr>
        <w:t>Stage 3 CKD Analysis</w:t>
      </w:r>
    </w:p>
    <w:p w:rsidR="00410B0B" w:rsidP="35A31DE5" w:rsidRDefault="5383272C" w14:paraId="5CAA47E2" w14:textId="2EA6BC39">
      <w:pPr>
        <w:pStyle w:val="ListParagraph"/>
        <w:numPr>
          <w:ilvl w:val="1"/>
          <w:numId w:val="11"/>
        </w:numPr>
        <w:spacing w:after="0"/>
        <w:rPr>
          <w:rFonts w:ascii="Times New Roman" w:hAnsi="Times New Roman" w:eastAsia="Times New Roman" w:cs="Times New Roman"/>
          <w:sz w:val="24"/>
          <w:szCs w:val="24"/>
        </w:rPr>
      </w:pPr>
      <w:r w:rsidRPr="35A31DE5" w:rsidR="01A8E401">
        <w:rPr>
          <w:rFonts w:ascii="Times New Roman" w:hAnsi="Times New Roman" w:eastAsia="Times New Roman" w:cs="Times New Roman"/>
          <w:sz w:val="24"/>
          <w:szCs w:val="24"/>
        </w:rPr>
        <w:t>Disparity in odds of first nephrology visit within 3 months of newly diagnosed Stage 3 CKD, defined as two consecutive eGFR values 30-</w:t>
      </w:r>
      <w:r w:rsidRPr="35A31DE5" w:rsidR="01A8E401">
        <w:rPr>
          <w:rFonts w:ascii="Times New Roman" w:hAnsi="Times New Roman" w:eastAsia="Times New Roman" w:cs="Times New Roman"/>
          <w:sz w:val="24"/>
          <w:szCs w:val="24"/>
        </w:rPr>
        <w:t>59</w:t>
      </w:r>
      <w:r w:rsidRPr="35A31DE5" w:rsidR="01A8E401">
        <w:rPr>
          <w:rFonts w:ascii="Times New Roman" w:hAnsi="Times New Roman" w:eastAsia="Times New Roman" w:cs="Times New Roman"/>
          <w:sz w:val="24"/>
          <w:szCs w:val="24"/>
        </w:rPr>
        <w:t xml:space="preserve"> ml/min/173m</w:t>
      </w:r>
      <w:r w:rsidRPr="35A31DE5" w:rsidR="01A8E401">
        <w:rPr>
          <w:rFonts w:ascii="Times New Roman" w:hAnsi="Times New Roman" w:eastAsia="Times New Roman" w:cs="Times New Roman"/>
          <w:sz w:val="24"/>
          <w:szCs w:val="24"/>
          <w:vertAlign w:val="superscript"/>
        </w:rPr>
        <w:t>2</w:t>
      </w:r>
      <w:r w:rsidRPr="35A31DE5" w:rsidR="01A8E401">
        <w:rPr>
          <w:rFonts w:ascii="Times New Roman" w:hAnsi="Times New Roman" w:eastAsia="Times New Roman" w:cs="Times New Roman"/>
          <w:sz w:val="24"/>
          <w:szCs w:val="24"/>
        </w:rPr>
        <w:t xml:space="preserve"> at least 90 days apart.</w:t>
      </w:r>
    </w:p>
    <w:p w:rsidR="00410B0B" w:rsidP="35A31DE5" w:rsidRDefault="5383272C" w14:paraId="6FCE2273" w14:textId="6833001B">
      <w:pPr>
        <w:pStyle w:val="ListParagraph"/>
        <w:numPr>
          <w:ilvl w:val="1"/>
          <w:numId w:val="11"/>
        </w:numPr>
        <w:spacing w:after="0"/>
        <w:rPr>
          <w:rFonts w:ascii="Times New Roman" w:hAnsi="Times New Roman" w:eastAsia="Times New Roman" w:cs="Times New Roman"/>
          <w:sz w:val="24"/>
          <w:szCs w:val="24"/>
        </w:rPr>
      </w:pPr>
      <w:r w:rsidRPr="35A31DE5" w:rsidR="01A8E401">
        <w:rPr>
          <w:rFonts w:ascii="Times New Roman" w:hAnsi="Times New Roman" w:eastAsia="Times New Roman" w:cs="Times New Roman"/>
          <w:sz w:val="24"/>
          <w:szCs w:val="24"/>
        </w:rPr>
        <w:t xml:space="preserve">Number of days until first nephrology </w:t>
      </w:r>
      <w:proofErr w:type="gramStart"/>
      <w:r w:rsidRPr="35A31DE5" w:rsidR="01A8E401">
        <w:rPr>
          <w:rFonts w:ascii="Times New Roman" w:hAnsi="Times New Roman" w:eastAsia="Times New Roman" w:cs="Times New Roman"/>
          <w:sz w:val="24"/>
          <w:szCs w:val="24"/>
        </w:rPr>
        <w:t>visit</w:t>
      </w:r>
      <w:proofErr w:type="gramEnd"/>
      <w:r w:rsidRPr="35A31DE5" w:rsidR="01A8E401">
        <w:rPr>
          <w:rFonts w:ascii="Times New Roman" w:hAnsi="Times New Roman" w:eastAsia="Times New Roman" w:cs="Times New Roman"/>
          <w:sz w:val="24"/>
          <w:szCs w:val="24"/>
        </w:rPr>
        <w:t xml:space="preserve"> among newly diagnosed Stage 3 CKD patients.</w:t>
      </w:r>
    </w:p>
    <w:p w:rsidR="00410B0B" w:rsidP="35A31DE5" w:rsidRDefault="5383272C" w14:paraId="298483FF" w14:textId="0E613FEE">
      <w:pPr>
        <w:pStyle w:val="ListParagraph"/>
        <w:numPr>
          <w:ilvl w:val="0"/>
          <w:numId w:val="11"/>
        </w:numPr>
        <w:spacing w:after="0"/>
        <w:rPr>
          <w:rFonts w:ascii="Times New Roman" w:hAnsi="Times New Roman" w:eastAsia="Times New Roman" w:cs="Times New Roman"/>
          <w:sz w:val="24"/>
          <w:szCs w:val="24"/>
        </w:rPr>
      </w:pPr>
      <w:r w:rsidRPr="35A31DE5" w:rsidR="01A8E401">
        <w:rPr>
          <w:rFonts w:ascii="Times New Roman" w:hAnsi="Times New Roman" w:eastAsia="Times New Roman" w:cs="Times New Roman"/>
          <w:sz w:val="24"/>
          <w:szCs w:val="24"/>
        </w:rPr>
        <w:t>Stage 4 CKD Analysis</w:t>
      </w:r>
    </w:p>
    <w:p w:rsidR="00410B0B" w:rsidP="35A31DE5" w:rsidRDefault="5383272C" w14:paraId="5A54E576" w14:textId="7664FE23">
      <w:pPr>
        <w:pStyle w:val="ListParagraph"/>
        <w:numPr>
          <w:ilvl w:val="1"/>
          <w:numId w:val="11"/>
        </w:numPr>
        <w:spacing w:after="0"/>
        <w:rPr>
          <w:rFonts w:ascii="Times New Roman" w:hAnsi="Times New Roman" w:eastAsia="Times New Roman" w:cs="Times New Roman"/>
          <w:sz w:val="24"/>
          <w:szCs w:val="24"/>
        </w:rPr>
      </w:pPr>
      <w:r w:rsidRPr="35A31DE5" w:rsidR="01A8E401">
        <w:rPr>
          <w:rFonts w:ascii="Times New Roman" w:hAnsi="Times New Roman" w:eastAsia="Times New Roman" w:cs="Times New Roman"/>
          <w:sz w:val="24"/>
          <w:szCs w:val="24"/>
        </w:rPr>
        <w:t>Disparity in odds of first nephrology visit within 3 months of newly diagnosed Stage 4 CKD, defined as two consecutive eGFR values 15-29 ml/min/173m</w:t>
      </w:r>
      <w:r w:rsidRPr="35A31DE5" w:rsidR="01A8E401">
        <w:rPr>
          <w:rFonts w:ascii="Times New Roman" w:hAnsi="Times New Roman" w:eastAsia="Times New Roman" w:cs="Times New Roman"/>
          <w:sz w:val="24"/>
          <w:szCs w:val="24"/>
          <w:vertAlign w:val="superscript"/>
        </w:rPr>
        <w:t>2</w:t>
      </w:r>
      <w:r w:rsidRPr="35A31DE5" w:rsidR="54809E90">
        <w:rPr>
          <w:rFonts w:ascii="Times New Roman" w:hAnsi="Times New Roman" w:eastAsia="Times New Roman" w:cs="Times New Roman"/>
          <w:sz w:val="24"/>
          <w:szCs w:val="24"/>
        </w:rPr>
        <w:t xml:space="preserve"> </w:t>
      </w:r>
      <w:r w:rsidRPr="35A31DE5" w:rsidR="01A8E401">
        <w:rPr>
          <w:rFonts w:ascii="Times New Roman" w:hAnsi="Times New Roman" w:eastAsia="Times New Roman" w:cs="Times New Roman"/>
          <w:sz w:val="24"/>
          <w:szCs w:val="24"/>
        </w:rPr>
        <w:t>at least 90 days apart.</w:t>
      </w:r>
    </w:p>
    <w:p w:rsidR="00410B0B" w:rsidP="35A31DE5" w:rsidRDefault="5383272C" w14:paraId="69782013" w14:textId="19E49C76">
      <w:pPr>
        <w:pStyle w:val="ListParagraph"/>
        <w:numPr>
          <w:ilvl w:val="1"/>
          <w:numId w:val="11"/>
        </w:numPr>
        <w:spacing w:after="0"/>
        <w:rPr>
          <w:rFonts w:ascii="Times New Roman" w:hAnsi="Times New Roman" w:eastAsia="Times New Roman" w:cs="Times New Roman"/>
          <w:sz w:val="24"/>
          <w:szCs w:val="24"/>
        </w:rPr>
      </w:pPr>
      <w:r w:rsidRPr="35A31DE5" w:rsidR="01A8E401">
        <w:rPr>
          <w:rFonts w:ascii="Times New Roman" w:hAnsi="Times New Roman" w:eastAsia="Times New Roman" w:cs="Times New Roman"/>
          <w:sz w:val="24"/>
          <w:szCs w:val="24"/>
        </w:rPr>
        <w:t>Number of days until first nephrology visit among newly diagnosed Stage 4 CKD patients.</w:t>
      </w:r>
    </w:p>
    <w:p w:rsidR="00410B0B" w:rsidP="35A31DE5" w:rsidRDefault="5383272C" w14:paraId="692482D1" w14:textId="25C28197">
      <w:pPr>
        <w:spacing w:after="0"/>
        <w:rPr>
          <w:rFonts w:ascii="Times New Roman" w:hAnsi="Times New Roman" w:eastAsia="Times New Roman" w:cs="Times New Roman"/>
          <w:sz w:val="24"/>
          <w:szCs w:val="24"/>
        </w:rPr>
      </w:pPr>
      <w:r w:rsidRPr="35A31DE5" w:rsidR="01A8E401">
        <w:rPr>
          <w:rFonts w:ascii="Times New Roman" w:hAnsi="Times New Roman" w:eastAsia="Times New Roman" w:cs="Times New Roman"/>
          <w:sz w:val="24"/>
          <w:szCs w:val="24"/>
        </w:rPr>
        <w:t xml:space="preserve"> </w:t>
      </w:r>
    </w:p>
    <w:p w:rsidR="00410B0B" w:rsidP="6BF41D3A" w:rsidRDefault="5383272C" w14:paraId="07C9EC83" w14:textId="7CD0F2F8">
      <w:pPr>
        <w:spacing w:after="0"/>
        <w:rPr>
          <w:rFonts w:ascii="Times New Roman" w:hAnsi="Times New Roman" w:eastAsia="Times New Roman" w:cs="Times New Roman"/>
          <w:sz w:val="24"/>
          <w:szCs w:val="24"/>
        </w:rPr>
      </w:pPr>
      <w:r w:rsidRPr="35A31DE5" w:rsidR="01A8E401">
        <w:rPr>
          <w:rFonts w:ascii="Times New Roman" w:hAnsi="Times New Roman" w:eastAsia="Times New Roman" w:cs="Times New Roman"/>
          <w:sz w:val="24"/>
          <w:szCs w:val="24"/>
        </w:rPr>
        <w:t>4.2 Secondary outcomes:</w:t>
      </w:r>
    </w:p>
    <w:p w:rsidR="1F9C4660" w:rsidP="35A31DE5" w:rsidRDefault="1F9C4660" w14:paraId="2EDBDEDC" w14:textId="76110DEB">
      <w:pPr>
        <w:pStyle w:val="Heading1"/>
        <w:numPr>
          <w:ilvl w:val="0"/>
          <w:numId w:val="11"/>
        </w:numPr>
        <w:spacing w:before="0"/>
        <w:rPr>
          <w:rFonts w:ascii="Times New Roman" w:hAnsi="Times New Roman" w:eastAsia="Times New Roman" w:cs="Times New Roman"/>
          <w:color w:val="auto"/>
          <w:sz w:val="24"/>
          <w:szCs w:val="24"/>
        </w:rPr>
      </w:pPr>
      <w:r w:rsidRPr="35A31DE5" w:rsidR="738E3A35">
        <w:rPr>
          <w:rFonts w:ascii="Times New Roman" w:hAnsi="Times New Roman" w:eastAsia="Times New Roman" w:cs="Times New Roman"/>
          <w:color w:val="auto"/>
          <w:sz w:val="24"/>
          <w:szCs w:val="24"/>
        </w:rPr>
        <w:t>Disparity in number of days for nephrology referral by Primary Care Physician of newly diagnosed Stage 3 or Stage 4 CKD</w:t>
      </w:r>
    </w:p>
    <w:p w:rsidR="00410B0B" w:rsidP="35A31DE5" w:rsidRDefault="5383272C" w14:paraId="24089362" w14:textId="776D351D">
      <w:pPr>
        <w:pStyle w:val="Heading1"/>
        <w:numPr>
          <w:ilvl w:val="0"/>
          <w:numId w:val="11"/>
        </w:numPr>
        <w:spacing w:before="0"/>
        <w:rPr>
          <w:rFonts w:ascii="Times New Roman" w:hAnsi="Times New Roman" w:eastAsia="Times New Roman" w:cs="Times New Roman"/>
          <w:color w:val="auto"/>
          <w:sz w:val="24"/>
          <w:szCs w:val="24"/>
        </w:rPr>
      </w:pPr>
      <w:r w:rsidRPr="35A31DE5" w:rsidR="01A8E401">
        <w:rPr>
          <w:rFonts w:ascii="Times New Roman" w:hAnsi="Times New Roman" w:eastAsia="Times New Roman" w:cs="Times New Roman"/>
          <w:color w:val="auto"/>
          <w:sz w:val="24"/>
          <w:szCs w:val="24"/>
        </w:rPr>
        <w:t xml:space="preserve">Disparity in interval between first eGFR value less than 60 </w:t>
      </w:r>
      <w:r w:rsidRPr="35A31DE5" w:rsidR="01A8E401">
        <w:rPr>
          <w:rFonts w:ascii="Times New Roman" w:hAnsi="Times New Roman" w:eastAsia="Times New Roman" w:cs="Times New Roman"/>
          <w:color w:val="000000" w:themeColor="text1" w:themeTint="FF" w:themeShade="FF"/>
          <w:sz w:val="24"/>
          <w:szCs w:val="24"/>
        </w:rPr>
        <w:t>ml/min/173m</w:t>
      </w:r>
      <w:r w:rsidRPr="35A31DE5" w:rsidR="01A8E401">
        <w:rPr>
          <w:rFonts w:ascii="Times New Roman" w:hAnsi="Times New Roman" w:eastAsia="Times New Roman" w:cs="Times New Roman"/>
          <w:color w:val="000000" w:themeColor="text1" w:themeTint="FF" w:themeShade="FF"/>
          <w:sz w:val="24"/>
          <w:szCs w:val="24"/>
          <w:vertAlign w:val="superscript"/>
        </w:rPr>
        <w:t>2</w:t>
      </w:r>
      <w:r w:rsidRPr="35A31DE5" w:rsidR="01A8E401">
        <w:rPr>
          <w:rFonts w:ascii="Times New Roman" w:hAnsi="Times New Roman" w:eastAsia="Times New Roman" w:cs="Times New Roman"/>
          <w:color w:val="auto"/>
          <w:sz w:val="24"/>
          <w:szCs w:val="24"/>
        </w:rPr>
        <w:t xml:space="preserve"> and second eGFR value</w:t>
      </w:r>
    </w:p>
    <w:p w:rsidR="00410B0B" w:rsidP="35A31DE5" w:rsidRDefault="5383272C" w14:paraId="4ADB3A3D" w14:textId="17952557">
      <w:pPr>
        <w:pStyle w:val="ListParagraph"/>
        <w:numPr>
          <w:ilvl w:val="0"/>
          <w:numId w:val="11"/>
        </w:numPr>
        <w:spacing w:after="0"/>
        <w:rPr>
          <w:rFonts w:ascii="Times New Roman" w:hAnsi="Times New Roman" w:eastAsia="Times New Roman" w:cs="Times New Roman"/>
          <w:sz w:val="24"/>
          <w:szCs w:val="24"/>
          <w:vertAlign w:val="superscript"/>
        </w:rPr>
      </w:pPr>
      <w:r w:rsidRPr="35A31DE5" w:rsidR="01A8E401">
        <w:rPr>
          <w:rFonts w:ascii="Times New Roman" w:hAnsi="Times New Roman" w:eastAsia="Times New Roman" w:cs="Times New Roman"/>
          <w:sz w:val="24"/>
          <w:szCs w:val="24"/>
        </w:rPr>
        <w:t>Disparity in proportion of individuals with an initial abnormal outpatient eGFR value between 15-59 ml/min/173m</w:t>
      </w:r>
      <w:r w:rsidRPr="35A31DE5" w:rsidR="01A8E401">
        <w:rPr>
          <w:rFonts w:ascii="Times New Roman" w:hAnsi="Times New Roman" w:eastAsia="Times New Roman" w:cs="Times New Roman"/>
          <w:sz w:val="24"/>
          <w:szCs w:val="24"/>
          <w:vertAlign w:val="superscript"/>
        </w:rPr>
        <w:t>2</w:t>
      </w:r>
      <w:r w:rsidRPr="35A31DE5" w:rsidR="01A8E401">
        <w:rPr>
          <w:rFonts w:ascii="Times New Roman" w:hAnsi="Times New Roman" w:eastAsia="Times New Roman" w:cs="Times New Roman"/>
          <w:sz w:val="24"/>
          <w:szCs w:val="24"/>
        </w:rPr>
        <w:t xml:space="preserve"> without a second eGFR value checked within 5 months</w:t>
      </w:r>
      <w:r w:rsidRPr="35A31DE5" w:rsidR="01A8E401">
        <w:rPr>
          <w:rFonts w:ascii="Times New Roman" w:hAnsi="Times New Roman" w:eastAsia="Times New Roman" w:cs="Times New Roman"/>
          <w:sz w:val="24"/>
          <w:szCs w:val="24"/>
          <w:vertAlign w:val="superscript"/>
        </w:rPr>
        <w:t>12</w:t>
      </w:r>
    </w:p>
    <w:p w:rsidR="1F9C4660" w:rsidP="35A31DE5" w:rsidRDefault="1F9C4660" w14:paraId="081E8142" w14:textId="322C7263">
      <w:pPr>
        <w:spacing w:after="0"/>
        <w:ind w:left="720"/>
        <w:rPr>
          <w:rFonts w:ascii="Times New Roman" w:hAnsi="Times New Roman" w:eastAsia="Times New Roman" w:cs="Times New Roman"/>
          <w:sz w:val="24"/>
          <w:szCs w:val="24"/>
          <w:highlight w:val="yellow"/>
          <w:vertAlign w:val="superscript"/>
        </w:rPr>
      </w:pPr>
    </w:p>
    <w:p w:rsidR="00410B0B" w:rsidP="5383272C" w:rsidRDefault="5383272C" w14:paraId="71FDBC0E" w14:textId="500CA730">
      <w:pPr>
        <w:spacing w:after="0"/>
        <w:rPr>
          <w:rFonts w:ascii="Calibri" w:hAnsi="Calibri" w:eastAsia="Calibri" w:cs="Calibri"/>
          <w:b/>
          <w:bCs/>
          <w:sz w:val="24"/>
          <w:szCs w:val="24"/>
        </w:rPr>
      </w:pPr>
      <w:r w:rsidRPr="5383272C">
        <w:rPr>
          <w:rFonts w:ascii="Calibri" w:hAnsi="Calibri" w:eastAsia="Calibri" w:cs="Calibri"/>
          <w:sz w:val="24"/>
          <w:szCs w:val="24"/>
        </w:rPr>
        <w:t xml:space="preserve"> </w:t>
      </w:r>
    </w:p>
    <w:p w:rsidR="00410B0B" w:rsidP="5383272C" w:rsidRDefault="5383272C" w14:paraId="735AB9E3" w14:textId="2EAFE542">
      <w:pPr>
        <w:pStyle w:val="Heading1"/>
        <w:spacing w:before="0"/>
        <w:rPr>
          <w:rFonts w:ascii="Times New Roman" w:hAnsi="Times New Roman" w:eastAsia="Times New Roman" w:cs="Times New Roman"/>
          <w:b/>
          <w:bCs/>
          <w:color w:val="auto"/>
          <w:sz w:val="28"/>
          <w:szCs w:val="28"/>
        </w:rPr>
      </w:pPr>
      <w:r w:rsidRPr="5383272C">
        <w:rPr>
          <w:rFonts w:ascii="Times New Roman" w:hAnsi="Times New Roman" w:eastAsia="Times New Roman" w:cs="Times New Roman"/>
          <w:b/>
          <w:bCs/>
          <w:color w:val="auto"/>
          <w:sz w:val="28"/>
          <w:szCs w:val="28"/>
        </w:rPr>
        <w:t>5.0</w:t>
      </w:r>
      <w:r w:rsidRPr="5383272C">
        <w:rPr>
          <w:rFonts w:ascii="Times New Roman" w:hAnsi="Times New Roman" w:eastAsia="Times New Roman" w:cs="Times New Roman"/>
          <w:b/>
          <w:bCs/>
          <w:color w:val="auto"/>
          <w:sz w:val="14"/>
          <w:szCs w:val="14"/>
        </w:rPr>
        <w:t xml:space="preserve">         </w:t>
      </w:r>
      <w:r w:rsidRPr="5383272C">
        <w:rPr>
          <w:rFonts w:ascii="Times New Roman" w:hAnsi="Times New Roman" w:eastAsia="Times New Roman" w:cs="Times New Roman"/>
          <w:b/>
          <w:bCs/>
          <w:color w:val="auto"/>
          <w:sz w:val="28"/>
          <w:szCs w:val="28"/>
        </w:rPr>
        <w:t>Study Intervention/Investigational Agent</w:t>
      </w:r>
    </w:p>
    <w:p w:rsidR="00410B0B" w:rsidP="35A31DE5" w:rsidRDefault="5383272C" w14:paraId="35E8B61A" w14:textId="346F2DC9">
      <w:pPr>
        <w:spacing w:after="0"/>
        <w:rPr>
          <w:rFonts w:ascii="Times New Roman" w:hAnsi="Times New Roman" w:eastAsia="Times New Roman" w:cs="Times New Roman"/>
          <w:i w:val="1"/>
          <w:iCs w:val="1"/>
          <w:sz w:val="24"/>
          <w:szCs w:val="24"/>
        </w:rPr>
      </w:pPr>
      <w:r w:rsidRPr="35A31DE5" w:rsidR="01A8E401">
        <w:rPr>
          <w:rFonts w:ascii="Times New Roman" w:hAnsi="Times New Roman" w:eastAsia="Times New Roman" w:cs="Times New Roman"/>
          <w:i w:val="1"/>
          <w:iCs w:val="1"/>
          <w:sz w:val="24"/>
          <w:szCs w:val="24"/>
        </w:rPr>
        <w:t>NA</w:t>
      </w:r>
    </w:p>
    <w:p w:rsidR="00410B0B" w:rsidP="5383272C" w:rsidRDefault="00410B0B" w14:paraId="04D93CAE" w14:textId="02372041">
      <w:pPr>
        <w:spacing w:after="0"/>
        <w:rPr>
          <w:rFonts w:ascii="Times New Roman" w:hAnsi="Times New Roman" w:eastAsia="Times New Roman" w:cs="Times New Roman"/>
          <w:color w:val="000000" w:themeColor="text1"/>
          <w:sz w:val="24"/>
          <w:szCs w:val="24"/>
        </w:rPr>
      </w:pPr>
    </w:p>
    <w:p w:rsidR="00410B0B" w:rsidP="5383272C" w:rsidRDefault="5383272C" w14:paraId="4C08DC20" w14:textId="11359778">
      <w:pPr>
        <w:pStyle w:val="Heading1"/>
        <w:spacing w:before="0"/>
        <w:rPr>
          <w:rFonts w:ascii="Times New Roman" w:hAnsi="Times New Roman" w:eastAsia="Times New Roman" w:cs="Times New Roman"/>
          <w:b/>
          <w:bCs/>
          <w:color w:val="auto"/>
          <w:sz w:val="28"/>
          <w:szCs w:val="28"/>
        </w:rPr>
      </w:pPr>
      <w:r w:rsidRPr="5383272C">
        <w:rPr>
          <w:rFonts w:ascii="Times New Roman" w:hAnsi="Times New Roman" w:eastAsia="Times New Roman" w:cs="Times New Roman"/>
          <w:b/>
          <w:bCs/>
          <w:color w:val="auto"/>
          <w:sz w:val="28"/>
          <w:szCs w:val="28"/>
        </w:rPr>
        <w:t>6.0</w:t>
      </w:r>
      <w:r w:rsidRPr="5383272C">
        <w:rPr>
          <w:rFonts w:ascii="Times New Roman" w:hAnsi="Times New Roman" w:eastAsia="Times New Roman" w:cs="Times New Roman"/>
          <w:b/>
          <w:bCs/>
          <w:color w:val="auto"/>
          <w:sz w:val="14"/>
          <w:szCs w:val="14"/>
        </w:rPr>
        <w:t xml:space="preserve">         </w:t>
      </w:r>
      <w:r w:rsidRPr="5383272C">
        <w:rPr>
          <w:rFonts w:ascii="Times New Roman" w:hAnsi="Times New Roman" w:eastAsia="Times New Roman" w:cs="Times New Roman"/>
          <w:b/>
          <w:bCs/>
          <w:color w:val="auto"/>
          <w:sz w:val="28"/>
          <w:szCs w:val="28"/>
        </w:rPr>
        <w:t>Procedures Involved*</w:t>
      </w:r>
    </w:p>
    <w:p w:rsidR="00410B0B" w:rsidP="6BF41D3A" w:rsidRDefault="5383272C" w14:paraId="4372F0E9" w14:textId="73C946A0">
      <w:pPr>
        <w:rPr>
          <w:rFonts w:ascii="Times New Roman" w:hAnsi="Times New Roman" w:eastAsia="Times New Roman" w:cs="Times New Roman"/>
          <w:color w:val="000000" w:themeColor="text1"/>
          <w:sz w:val="24"/>
          <w:szCs w:val="24"/>
        </w:rPr>
      </w:pPr>
      <w:r w:rsidRPr="35A31DE5" w:rsidR="01A8E401">
        <w:rPr>
          <w:rFonts w:ascii="Times New Roman" w:hAnsi="Times New Roman" w:eastAsia="Times New Roman" w:cs="Times New Roman"/>
          <w:color w:val="000000" w:themeColor="text1" w:themeTint="FF" w:themeShade="FF"/>
          <w:sz w:val="24"/>
          <w:szCs w:val="24"/>
        </w:rPr>
        <w:t>The study’s dataset will include retrospectively collected data from OHDSI, which contains data routinely mapped from the Cerner electronic health record used across MedStar facilities and has been standardized and validated. OHDSI visit-level data will be used to create a limited dataset for analysis containing the variables outlined in Table 1 below. The limited dataset will be restricted to our study population outlined under Inclusion Criteria in Table 3. This dataset will be maintained on MedStar’s secure, password protected server throughout the course of the study, with access limited to study personnel.</w:t>
      </w:r>
    </w:p>
    <w:tbl>
      <w:tblPr>
        <w:tblW w:w="10030" w:type="dxa"/>
        <w:tblLayout w:type="fixed"/>
        <w:tblLook w:val="04A0" w:firstRow="1" w:lastRow="0" w:firstColumn="1" w:lastColumn="0" w:noHBand="0" w:noVBand="1"/>
      </w:tblPr>
      <w:tblGrid>
        <w:gridCol w:w="10030"/>
      </w:tblGrid>
      <w:tr w:rsidR="5383272C" w:rsidTr="624E6FD9" w14:paraId="558604C2"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D9D9D9" w:themeFill="background1" w:themeFillShade="D9"/>
            <w:vAlign w:val="bottom"/>
          </w:tcPr>
          <w:p w:rsidR="5383272C" w:rsidP="5383272C" w:rsidRDefault="5383272C" w14:paraId="371D1706" w14:textId="3299F5FC">
            <w:pPr>
              <w:rPr>
                <w:rFonts w:ascii="Times New Roman" w:hAnsi="Times New Roman" w:eastAsia="Times New Roman" w:cs="Times New Roman"/>
                <w:color w:val="000000" w:themeColor="text1"/>
              </w:rPr>
            </w:pPr>
            <w:r w:rsidRPr="5383272C">
              <w:rPr>
                <w:rFonts w:ascii="Times New Roman" w:hAnsi="Times New Roman" w:eastAsia="Times New Roman" w:cs="Times New Roman"/>
                <w:b/>
                <w:bCs/>
                <w:color w:val="000000" w:themeColor="text1"/>
              </w:rPr>
              <w:t xml:space="preserve">Table 1. Planned Study Variables </w:t>
            </w:r>
          </w:p>
        </w:tc>
      </w:tr>
      <w:tr w:rsidR="1F9C4660" w:rsidTr="624E6FD9" w14:paraId="0F2E4480"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bottom"/>
          </w:tcPr>
          <w:p w:rsidR="1F9C4660" w:rsidP="1F9C4660" w:rsidRDefault="1F9C4660" w14:paraId="2EB11069" w14:textId="5F57A971">
            <w:pPr>
              <w:rPr>
                <w:rFonts w:ascii="Times New Roman" w:hAnsi="Times New Roman" w:eastAsia="Times New Roman" w:cs="Times New Roman"/>
                <w:b/>
                <w:bCs/>
                <w:i/>
                <w:iCs/>
                <w:color w:val="000000" w:themeColor="text1"/>
              </w:rPr>
            </w:pPr>
            <w:r w:rsidRPr="1F9C4660">
              <w:rPr>
                <w:rFonts w:ascii="Times New Roman" w:hAnsi="Times New Roman" w:eastAsia="Times New Roman" w:cs="Times New Roman"/>
                <w:b/>
                <w:bCs/>
                <w:i/>
                <w:iCs/>
                <w:color w:val="000000" w:themeColor="text1"/>
              </w:rPr>
              <w:t>Encounter Characteristics</w:t>
            </w:r>
          </w:p>
        </w:tc>
      </w:tr>
      <w:tr w:rsidR="1F9C4660" w:rsidTr="624E6FD9" w14:paraId="777FB6DE" w14:textId="77777777">
        <w:trPr>
          <w:trHeight w:val="270"/>
        </w:trPr>
        <w:tc>
          <w:tcPr>
            <w:tcW w:w="10030" w:type="dxa"/>
            <w:tcBorders>
              <w:top w:val="single" w:color="auto" w:sz="6" w:space="0"/>
              <w:left w:val="single" w:color="auto" w:sz="6" w:space="0"/>
              <w:bottom w:val="single" w:color="auto" w:sz="6" w:space="0"/>
              <w:right w:val="single" w:color="auto" w:sz="6" w:space="0"/>
            </w:tcBorders>
            <w:vAlign w:val="bottom"/>
          </w:tcPr>
          <w:p w:rsidR="1F9C4660" w:rsidP="1F9C4660" w:rsidRDefault="1F9C4660" w14:paraId="058159D7" w14:textId="21856708">
            <w:pPr>
              <w:spacing w:after="0"/>
            </w:pPr>
            <w:r w:rsidRPr="624E6FD9">
              <w:rPr>
                <w:rFonts w:ascii="Times New Roman" w:hAnsi="Times New Roman" w:eastAsia="Times New Roman" w:cs="Times New Roman"/>
                <w:color w:val="000000" w:themeColor="text1"/>
              </w:rPr>
              <w:t>Number of days between newly diagnosed CKD and first nephrology visit</w:t>
            </w:r>
          </w:p>
        </w:tc>
      </w:tr>
      <w:tr w:rsidR="1F9C4660" w:rsidTr="624E6FD9" w14:paraId="1364DAF0" w14:textId="77777777">
        <w:trPr>
          <w:trHeight w:val="270"/>
        </w:trPr>
        <w:tc>
          <w:tcPr>
            <w:tcW w:w="10030" w:type="dxa"/>
            <w:tcBorders>
              <w:top w:val="single" w:color="auto" w:sz="6" w:space="0"/>
              <w:left w:val="single" w:color="auto" w:sz="6" w:space="0"/>
              <w:bottom w:val="single" w:color="auto" w:sz="6" w:space="0"/>
              <w:right w:val="single" w:color="auto" w:sz="6" w:space="0"/>
            </w:tcBorders>
            <w:vAlign w:val="bottom"/>
          </w:tcPr>
          <w:p w:rsidR="1F9C4660" w:rsidP="1F9C4660" w:rsidRDefault="1F9C4660" w14:paraId="608DE3A0" w14:textId="1190E7B7">
            <w:pPr>
              <w:rPr>
                <w:rFonts w:ascii="Times New Roman" w:hAnsi="Times New Roman" w:eastAsia="Times New Roman" w:cs="Times New Roman"/>
                <w:color w:val="000000" w:themeColor="text1"/>
              </w:rPr>
            </w:pPr>
            <w:r w:rsidRPr="624E6FD9">
              <w:rPr>
                <w:rFonts w:ascii="Times New Roman" w:hAnsi="Times New Roman" w:eastAsia="Times New Roman" w:cs="Times New Roman"/>
                <w:color w:val="000000" w:themeColor="text1"/>
              </w:rPr>
              <w:t>Number of days between the first abnormal eGFR and second eGFR lab test</w:t>
            </w:r>
          </w:p>
        </w:tc>
      </w:tr>
      <w:tr w:rsidR="1F9C4660" w:rsidTr="624E6FD9" w14:paraId="46A3F7C9" w14:textId="77777777">
        <w:trPr>
          <w:trHeight w:val="270"/>
        </w:trPr>
        <w:tc>
          <w:tcPr>
            <w:tcW w:w="10030" w:type="dxa"/>
            <w:tcBorders>
              <w:top w:val="single" w:color="auto" w:sz="6" w:space="0"/>
              <w:left w:val="single" w:color="auto" w:sz="6" w:space="0"/>
              <w:bottom w:val="single" w:color="auto" w:sz="6" w:space="0"/>
              <w:right w:val="single" w:color="auto" w:sz="6" w:space="0"/>
            </w:tcBorders>
            <w:vAlign w:val="bottom"/>
          </w:tcPr>
          <w:p w:rsidR="5383272C" w:rsidP="1F9C4660" w:rsidRDefault="5383272C" w14:paraId="385D63EC" w14:textId="2FCE80F0">
            <w:pPr>
              <w:spacing w:after="0"/>
              <w:rPr>
                <w:rFonts w:ascii="Times New Roman" w:hAnsi="Times New Roman" w:eastAsia="Times New Roman" w:cs="Times New Roman"/>
                <w:vertAlign w:val="superscript"/>
              </w:rPr>
            </w:pPr>
            <w:r w:rsidRPr="624E6FD9">
              <w:rPr>
                <w:rFonts w:ascii="Times New Roman" w:hAnsi="Times New Roman" w:eastAsia="Times New Roman" w:cs="Times New Roman"/>
              </w:rPr>
              <w:t>Second eGFR value checked within 5 months after first abnormal eGFR (yes/no)</w:t>
            </w:r>
          </w:p>
        </w:tc>
      </w:tr>
      <w:tr w:rsidR="1F9C4660" w:rsidTr="624E6FD9" w14:paraId="05F0D581" w14:textId="77777777">
        <w:trPr>
          <w:trHeight w:val="270"/>
        </w:trPr>
        <w:tc>
          <w:tcPr>
            <w:tcW w:w="10030" w:type="dxa"/>
            <w:tcBorders>
              <w:top w:val="single" w:color="auto" w:sz="6" w:space="0"/>
              <w:left w:val="single" w:color="auto" w:sz="6" w:space="0"/>
              <w:bottom w:val="single" w:color="auto" w:sz="6" w:space="0"/>
              <w:right w:val="single" w:color="auto" w:sz="6" w:space="0"/>
            </w:tcBorders>
            <w:vAlign w:val="bottom"/>
          </w:tcPr>
          <w:p w:rsidR="1F9C4660" w:rsidP="1F9C4660" w:rsidRDefault="1F9C4660" w14:paraId="359859E9" w14:textId="77BE0E91">
            <w:pPr>
              <w:rPr>
                <w:rFonts w:ascii="Times New Roman" w:hAnsi="Times New Roman" w:eastAsia="Times New Roman" w:cs="Times New Roman"/>
                <w:color w:val="000000" w:themeColor="text1"/>
              </w:rPr>
            </w:pPr>
            <w:r w:rsidRPr="1F9C4660">
              <w:rPr>
                <w:rFonts w:ascii="Times New Roman" w:hAnsi="Times New Roman" w:eastAsia="Times New Roman" w:cs="Times New Roman"/>
                <w:color w:val="000000" w:themeColor="text1"/>
              </w:rPr>
              <w:t>Nephrology Referral (yes/no)</w:t>
            </w:r>
          </w:p>
        </w:tc>
      </w:tr>
      <w:tr w:rsidR="5383272C" w:rsidTr="624E6FD9" w14:paraId="0E4EF4F5"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bottom"/>
          </w:tcPr>
          <w:p w:rsidR="5383272C" w:rsidP="5383272C" w:rsidRDefault="5383272C" w14:paraId="47EDCE2F" w14:textId="0178B768">
            <w:pPr>
              <w:rPr>
                <w:rFonts w:ascii="Times New Roman" w:hAnsi="Times New Roman" w:eastAsia="Times New Roman" w:cs="Times New Roman"/>
                <w:color w:val="000000" w:themeColor="text1"/>
              </w:rPr>
            </w:pPr>
            <w:r w:rsidRPr="5383272C">
              <w:rPr>
                <w:rFonts w:ascii="Times New Roman" w:hAnsi="Times New Roman" w:eastAsia="Times New Roman" w:cs="Times New Roman"/>
                <w:b/>
                <w:bCs/>
                <w:i/>
                <w:iCs/>
                <w:color w:val="000000" w:themeColor="text1"/>
              </w:rPr>
              <w:t>Patient Demographic Characteristics</w:t>
            </w:r>
          </w:p>
        </w:tc>
      </w:tr>
      <w:tr w:rsidR="5383272C" w:rsidTr="624E6FD9" w14:paraId="31AB07D5" w14:textId="77777777">
        <w:trPr>
          <w:trHeight w:val="270"/>
        </w:trPr>
        <w:tc>
          <w:tcPr>
            <w:tcW w:w="10030" w:type="dxa"/>
            <w:tcBorders>
              <w:top w:val="single" w:color="auto" w:sz="6" w:space="0"/>
              <w:left w:val="single" w:color="auto" w:sz="6" w:space="0"/>
              <w:bottom w:val="single" w:color="auto" w:sz="6" w:space="0"/>
              <w:right w:val="single" w:color="auto" w:sz="6" w:space="0"/>
            </w:tcBorders>
            <w:vAlign w:val="bottom"/>
          </w:tcPr>
          <w:p w:rsidR="5383272C" w:rsidP="5383272C" w:rsidRDefault="5383272C" w14:paraId="40E52DF7" w14:textId="56E278A3">
            <w:pPr>
              <w:rPr>
                <w:rFonts w:ascii="Times New Roman" w:hAnsi="Times New Roman" w:eastAsia="Times New Roman" w:cs="Times New Roman"/>
                <w:color w:val="000000" w:themeColor="text1"/>
              </w:rPr>
            </w:pPr>
            <w:r w:rsidRPr="5383272C">
              <w:rPr>
                <w:rFonts w:ascii="Times New Roman" w:hAnsi="Times New Roman" w:eastAsia="Times New Roman" w:cs="Times New Roman"/>
                <w:color w:val="000000" w:themeColor="text1"/>
              </w:rPr>
              <w:t>Age (continuous)</w:t>
            </w:r>
          </w:p>
        </w:tc>
      </w:tr>
      <w:tr w:rsidR="5383272C" w:rsidTr="624E6FD9" w14:paraId="676CD0B1" w14:textId="77777777">
        <w:trPr>
          <w:trHeight w:val="270"/>
        </w:trPr>
        <w:tc>
          <w:tcPr>
            <w:tcW w:w="10030" w:type="dxa"/>
            <w:tcBorders>
              <w:top w:val="single" w:color="auto" w:sz="6" w:space="0"/>
              <w:left w:val="single" w:color="auto" w:sz="6" w:space="0"/>
              <w:bottom w:val="single" w:color="auto" w:sz="6" w:space="0"/>
              <w:right w:val="single" w:color="auto" w:sz="6" w:space="0"/>
            </w:tcBorders>
            <w:vAlign w:val="bottom"/>
          </w:tcPr>
          <w:p w:rsidR="5383272C" w:rsidP="5383272C" w:rsidRDefault="5383272C" w14:paraId="2CF31404" w14:textId="48F54615">
            <w:pPr>
              <w:rPr>
                <w:rFonts w:ascii="Times New Roman" w:hAnsi="Times New Roman" w:eastAsia="Times New Roman" w:cs="Times New Roman"/>
                <w:color w:val="000000" w:themeColor="text1"/>
              </w:rPr>
            </w:pPr>
            <w:r w:rsidRPr="5383272C">
              <w:rPr>
                <w:rFonts w:ascii="Times New Roman" w:hAnsi="Times New Roman" w:eastAsia="Times New Roman" w:cs="Times New Roman"/>
                <w:color w:val="000000" w:themeColor="text1"/>
              </w:rPr>
              <w:t>Sex (male, female, other)</w:t>
            </w:r>
          </w:p>
        </w:tc>
      </w:tr>
      <w:tr w:rsidR="5383272C" w:rsidTr="624E6FD9" w14:paraId="193467A0" w14:textId="77777777">
        <w:trPr>
          <w:trHeight w:val="270"/>
        </w:trPr>
        <w:tc>
          <w:tcPr>
            <w:tcW w:w="10030" w:type="dxa"/>
            <w:tcBorders>
              <w:top w:val="single" w:color="auto" w:sz="6" w:space="0"/>
              <w:left w:val="single" w:color="auto" w:sz="6" w:space="0"/>
              <w:bottom w:val="single" w:color="auto" w:sz="6" w:space="0"/>
              <w:right w:val="single" w:color="auto" w:sz="6" w:space="0"/>
            </w:tcBorders>
            <w:vAlign w:val="bottom"/>
          </w:tcPr>
          <w:p w:rsidR="5383272C" w:rsidP="1F9C4660" w:rsidRDefault="5383272C" w14:paraId="4E8D58C1" w14:textId="423B9670">
            <w:pPr>
              <w:rPr>
                <w:rFonts w:ascii="Times New Roman" w:hAnsi="Times New Roman" w:eastAsia="Times New Roman" w:cs="Times New Roman"/>
                <w:color w:val="000000" w:themeColor="text1"/>
              </w:rPr>
            </w:pPr>
            <w:r w:rsidRPr="624E6FD9">
              <w:rPr>
                <w:rFonts w:ascii="Times New Roman" w:hAnsi="Times New Roman" w:eastAsia="Times New Roman" w:cs="Times New Roman"/>
                <w:color w:val="000000" w:themeColor="text1"/>
              </w:rPr>
              <w:t>Race &amp; Ethnicity (non-Hispanic white, non-Hispanic Black, Hispanic/Latino, non-Hispanic Asian/Pacific Islander, other)</w:t>
            </w:r>
          </w:p>
        </w:tc>
      </w:tr>
      <w:tr w:rsidR="00335132" w:rsidTr="624E6FD9" w14:paraId="51DDE3B7" w14:textId="77777777">
        <w:trPr>
          <w:trHeight w:val="270"/>
        </w:trPr>
        <w:tc>
          <w:tcPr>
            <w:tcW w:w="10030" w:type="dxa"/>
            <w:tcBorders>
              <w:top w:val="single" w:color="auto" w:sz="6" w:space="0"/>
              <w:left w:val="single" w:color="auto" w:sz="6" w:space="0"/>
              <w:bottom w:val="single" w:color="auto" w:sz="6" w:space="0"/>
              <w:right w:val="single" w:color="auto" w:sz="6" w:space="0"/>
            </w:tcBorders>
            <w:vAlign w:val="bottom"/>
          </w:tcPr>
          <w:p w:rsidR="5383272C" w:rsidP="00335132" w:rsidRDefault="5383272C" w14:paraId="73139B8F" w14:textId="43D77961">
            <w:pPr>
              <w:rPr>
                <w:rFonts w:ascii="Times New Roman" w:hAnsi="Times New Roman" w:eastAsia="Times New Roman" w:cs="Times New Roman"/>
                <w:color w:val="000000" w:themeColor="text1"/>
              </w:rPr>
            </w:pPr>
            <w:r w:rsidRPr="00335132">
              <w:rPr>
                <w:rFonts w:ascii="Times New Roman" w:hAnsi="Times New Roman" w:eastAsia="Times New Roman" w:cs="Times New Roman"/>
                <w:color w:val="000000" w:themeColor="text1"/>
              </w:rPr>
              <w:t>Payer type (Medicare, Medicaid, Dual-Eligible, Private, Self-Pay/Medicaid Pending)</w:t>
            </w:r>
          </w:p>
        </w:tc>
      </w:tr>
      <w:tr w:rsidR="1F9C4660" w:rsidTr="624E6FD9" w14:paraId="09A2A91B" w14:textId="77777777">
        <w:trPr>
          <w:trHeight w:val="270"/>
        </w:trPr>
        <w:tc>
          <w:tcPr>
            <w:tcW w:w="10030" w:type="dxa"/>
            <w:tcBorders>
              <w:top w:val="single" w:color="auto" w:sz="6" w:space="0"/>
              <w:left w:val="single" w:color="auto" w:sz="6" w:space="0"/>
              <w:bottom w:val="single" w:color="auto" w:sz="6" w:space="0"/>
              <w:right w:val="single" w:color="auto" w:sz="6" w:space="0"/>
            </w:tcBorders>
            <w:vAlign w:val="bottom"/>
          </w:tcPr>
          <w:p w:rsidR="1F9C4660" w:rsidP="6BF41D3A" w:rsidRDefault="1F9C4660" w14:paraId="7A5624F1" w14:textId="2FFE5C6C">
            <w:pPr>
              <w:rPr>
                <w:rFonts w:ascii="Times New Roman" w:hAnsi="Times New Roman" w:eastAsia="Times New Roman" w:cs="Times New Roman"/>
                <w:color w:val="000000" w:themeColor="text1"/>
              </w:rPr>
            </w:pPr>
            <w:r w:rsidRPr="6BF41D3A">
              <w:rPr>
                <w:rFonts w:ascii="Times New Roman" w:hAnsi="Times New Roman" w:eastAsia="Times New Roman" w:cs="Times New Roman"/>
                <w:color w:val="000000" w:themeColor="text1"/>
              </w:rPr>
              <w:t>Residential Address (to link ACS data)</w:t>
            </w:r>
          </w:p>
        </w:tc>
      </w:tr>
      <w:tr w:rsidR="5383272C" w:rsidTr="624E6FD9" w14:paraId="6D994227"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bottom"/>
          </w:tcPr>
          <w:p w:rsidR="5383272C" w:rsidP="5383272C" w:rsidRDefault="5383272C" w14:paraId="17BCC664" w14:textId="5FD51F2B">
            <w:pPr>
              <w:rPr>
                <w:rFonts w:ascii="Times New Roman" w:hAnsi="Times New Roman" w:eastAsia="Times New Roman" w:cs="Times New Roman"/>
                <w:color w:val="000000" w:themeColor="text1"/>
              </w:rPr>
            </w:pPr>
            <w:r w:rsidRPr="5383272C">
              <w:rPr>
                <w:rFonts w:ascii="Times New Roman" w:hAnsi="Times New Roman" w:eastAsia="Times New Roman" w:cs="Times New Roman"/>
                <w:b/>
                <w:bCs/>
                <w:i/>
                <w:iCs/>
                <w:color w:val="000000" w:themeColor="text1"/>
              </w:rPr>
              <w:t>Patient Comorbidities</w:t>
            </w:r>
          </w:p>
        </w:tc>
      </w:tr>
      <w:tr w:rsidR="5383272C" w:rsidTr="624E6FD9" w14:paraId="4C069B71"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FFFFF" w:themeFill="background1"/>
            <w:vAlign w:val="bottom"/>
          </w:tcPr>
          <w:p w:rsidR="5383272C" w:rsidP="6BF41D3A" w:rsidRDefault="5383272C" w14:paraId="5B8E7EC0" w14:textId="5C8CBE5F">
            <w:pPr>
              <w:rPr>
                <w:rFonts w:ascii="Times New Roman" w:hAnsi="Times New Roman" w:eastAsia="Times New Roman" w:cs="Times New Roman"/>
                <w:color w:val="000000" w:themeColor="text1"/>
                <w:vertAlign w:val="superscript"/>
              </w:rPr>
            </w:pPr>
            <w:r w:rsidRPr="624E6FD9">
              <w:rPr>
                <w:rFonts w:ascii="Times New Roman" w:hAnsi="Times New Roman" w:eastAsia="Times New Roman" w:cs="Times New Roman"/>
                <w:color w:val="000000" w:themeColor="text1"/>
              </w:rPr>
              <w:t>Elixhauser Comorbidity Index</w:t>
            </w:r>
            <w:r w:rsidRPr="624E6FD9">
              <w:rPr>
                <w:rFonts w:ascii="Times New Roman" w:hAnsi="Times New Roman" w:eastAsia="Times New Roman" w:cs="Times New Roman"/>
                <w:color w:val="000000" w:themeColor="text1"/>
                <w:vertAlign w:val="superscript"/>
              </w:rPr>
              <w:t>13</w:t>
            </w:r>
          </w:p>
        </w:tc>
      </w:tr>
      <w:tr w:rsidR="00335132" w:rsidTr="624E6FD9" w14:paraId="5D381FF8"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FFFFF" w:themeFill="background1"/>
            <w:vAlign w:val="bottom"/>
          </w:tcPr>
          <w:p w:rsidR="00335132" w:rsidP="1F9C4660" w:rsidRDefault="00335132" w14:paraId="4A37F73C" w14:textId="52C7D22A">
            <w:pPr>
              <w:rPr>
                <w:rFonts w:ascii="Times New Roman" w:hAnsi="Times New Roman" w:eastAsia="Times New Roman" w:cs="Times New Roman"/>
                <w:color w:val="000000" w:themeColor="text1"/>
              </w:rPr>
            </w:pPr>
            <w:r w:rsidRPr="1F9C4660">
              <w:rPr>
                <w:rFonts w:ascii="Times New Roman" w:hAnsi="Times New Roman" w:eastAsia="Times New Roman" w:cs="Times New Roman"/>
                <w:color w:val="000000" w:themeColor="text1"/>
              </w:rPr>
              <w:t>Body Mass Index</w:t>
            </w:r>
          </w:p>
        </w:tc>
      </w:tr>
      <w:tr w:rsidR="00335132" w:rsidTr="624E6FD9" w14:paraId="4C8ADDB3"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FFFFF" w:themeFill="background1"/>
            <w:vAlign w:val="bottom"/>
          </w:tcPr>
          <w:p w:rsidR="00335132" w:rsidP="00335132" w:rsidRDefault="00335132" w14:paraId="34114191" w14:textId="182132D0">
            <w:pPr>
              <w:rPr>
                <w:rFonts w:ascii="Times New Roman" w:hAnsi="Times New Roman" w:eastAsia="Times New Roman" w:cs="Times New Roman"/>
                <w:color w:val="000000" w:themeColor="text1"/>
              </w:rPr>
            </w:pPr>
            <w:r w:rsidRPr="00335132">
              <w:rPr>
                <w:rFonts w:ascii="Times New Roman" w:hAnsi="Times New Roman" w:eastAsia="Times New Roman" w:cs="Times New Roman"/>
                <w:color w:val="000000" w:themeColor="text1"/>
              </w:rPr>
              <w:t>Diabetes</w:t>
            </w:r>
          </w:p>
        </w:tc>
      </w:tr>
      <w:tr w:rsidR="00335132" w:rsidTr="624E6FD9" w14:paraId="5A5B0F0C"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FFFFF" w:themeFill="background1"/>
            <w:vAlign w:val="bottom"/>
          </w:tcPr>
          <w:p w:rsidR="00335132" w:rsidP="00335132" w:rsidRDefault="00335132" w14:paraId="29FFF91C" w14:textId="6A2874FA">
            <w:pPr>
              <w:rPr>
                <w:rFonts w:ascii="Times New Roman" w:hAnsi="Times New Roman" w:eastAsia="Times New Roman" w:cs="Times New Roman"/>
                <w:color w:val="000000" w:themeColor="text1"/>
              </w:rPr>
            </w:pPr>
            <w:r w:rsidRPr="00335132">
              <w:rPr>
                <w:rFonts w:ascii="Times New Roman" w:hAnsi="Times New Roman" w:eastAsia="Times New Roman" w:cs="Times New Roman"/>
                <w:color w:val="000000" w:themeColor="text1"/>
              </w:rPr>
              <w:t>Hypertension</w:t>
            </w:r>
          </w:p>
        </w:tc>
      </w:tr>
      <w:tr w:rsidR="00335132" w:rsidTr="624E6FD9" w14:paraId="5564970B"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FFFFF" w:themeFill="background1"/>
            <w:vAlign w:val="bottom"/>
          </w:tcPr>
          <w:p w:rsidR="00335132" w:rsidP="1F9C4660" w:rsidRDefault="00335132" w14:paraId="611B8B70" w14:textId="2C92BA83">
            <w:pPr>
              <w:rPr>
                <w:rFonts w:ascii="Times New Roman" w:hAnsi="Times New Roman" w:eastAsia="Times New Roman" w:cs="Times New Roman"/>
                <w:color w:val="000000" w:themeColor="text1"/>
              </w:rPr>
            </w:pPr>
            <w:r w:rsidRPr="1F9C4660">
              <w:rPr>
                <w:rFonts w:ascii="Times New Roman" w:hAnsi="Times New Roman" w:eastAsia="Times New Roman" w:cs="Times New Roman"/>
                <w:color w:val="000000" w:themeColor="text1"/>
              </w:rPr>
              <w:t>Congestive Heart Failure</w:t>
            </w:r>
          </w:p>
        </w:tc>
      </w:tr>
      <w:tr w:rsidR="5383272C" w:rsidTr="624E6FD9" w14:paraId="467F76D0"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bottom"/>
          </w:tcPr>
          <w:p w:rsidR="5383272C" w:rsidP="5383272C" w:rsidRDefault="5383272C" w14:paraId="1830B225" w14:textId="1AC46A3F">
            <w:pPr>
              <w:rPr>
                <w:rFonts w:ascii="Times New Roman" w:hAnsi="Times New Roman" w:eastAsia="Times New Roman" w:cs="Times New Roman"/>
                <w:color w:val="000000" w:themeColor="text1"/>
              </w:rPr>
            </w:pPr>
            <w:r w:rsidRPr="5383272C">
              <w:rPr>
                <w:rFonts w:ascii="Times New Roman" w:hAnsi="Times New Roman" w:eastAsia="Times New Roman" w:cs="Times New Roman"/>
                <w:b/>
                <w:bCs/>
                <w:i/>
                <w:iCs/>
                <w:color w:val="000000" w:themeColor="text1"/>
              </w:rPr>
              <w:t>Patient Behavioral Factors</w:t>
            </w:r>
          </w:p>
        </w:tc>
      </w:tr>
      <w:tr w:rsidR="5383272C" w:rsidTr="624E6FD9" w14:paraId="30523974"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FFFFF" w:themeFill="background1"/>
            <w:vAlign w:val="bottom"/>
          </w:tcPr>
          <w:p w:rsidR="5383272C" w:rsidP="4AC735C7" w:rsidRDefault="5383272C" w14:paraId="46D1ABC2" w14:textId="55664ABA">
            <w:pPr>
              <w:rPr>
                <w:rFonts w:ascii="Times New Roman" w:hAnsi="Times New Roman" w:eastAsia="Times New Roman" w:cs="Times New Roman"/>
                <w:color w:val="000000" w:themeColor="text1"/>
              </w:rPr>
            </w:pPr>
            <w:r w:rsidRPr="4AC735C7">
              <w:rPr>
                <w:rFonts w:ascii="Times New Roman" w:hAnsi="Times New Roman" w:eastAsia="Times New Roman" w:cs="Times New Roman"/>
                <w:color w:val="000000" w:themeColor="text1"/>
              </w:rPr>
              <w:t>Smoking history (former smoker, current smoker, non-smoker)</w:t>
            </w:r>
          </w:p>
        </w:tc>
      </w:tr>
      <w:tr w:rsidR="5383272C" w:rsidTr="624E6FD9" w14:paraId="47D91564"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bottom"/>
          </w:tcPr>
          <w:p w:rsidR="5383272C" w:rsidP="5383272C" w:rsidRDefault="5383272C" w14:paraId="2E89D492" w14:textId="7CAB4DBA">
            <w:pPr>
              <w:rPr>
                <w:rFonts w:ascii="Times New Roman" w:hAnsi="Times New Roman" w:eastAsia="Times New Roman" w:cs="Times New Roman"/>
                <w:color w:val="000000" w:themeColor="text1"/>
              </w:rPr>
            </w:pPr>
            <w:r w:rsidRPr="5383272C">
              <w:rPr>
                <w:rFonts w:ascii="Times New Roman" w:hAnsi="Times New Roman" w:eastAsia="Times New Roman" w:cs="Times New Roman"/>
                <w:b/>
                <w:bCs/>
                <w:i/>
                <w:iCs/>
                <w:color w:val="000000" w:themeColor="text1"/>
              </w:rPr>
              <w:t>Labs</w:t>
            </w:r>
          </w:p>
        </w:tc>
      </w:tr>
      <w:tr w:rsidR="5383272C" w:rsidTr="624E6FD9" w14:paraId="2AB135BB"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FFFFF" w:themeFill="background1"/>
            <w:vAlign w:val="bottom"/>
          </w:tcPr>
          <w:p w:rsidR="5383272C" w:rsidP="5383272C" w:rsidRDefault="5383272C" w14:paraId="14A3E520" w14:textId="15FB9B4A">
            <w:pPr>
              <w:rPr>
                <w:rFonts w:ascii="Times New Roman" w:hAnsi="Times New Roman" w:eastAsia="Times New Roman" w:cs="Times New Roman"/>
                <w:color w:val="000000" w:themeColor="text1"/>
              </w:rPr>
            </w:pPr>
            <w:r w:rsidRPr="624E6FD9">
              <w:rPr>
                <w:rFonts w:ascii="Times New Roman" w:hAnsi="Times New Roman" w:eastAsia="Times New Roman" w:cs="Times New Roman"/>
                <w:color w:val="000000" w:themeColor="text1"/>
              </w:rPr>
              <w:t>eGFR level</w:t>
            </w:r>
          </w:p>
        </w:tc>
      </w:tr>
      <w:tr w:rsidR="5383272C" w:rsidTr="624E6FD9" w14:paraId="3F9EAAA6"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FFFFF" w:themeFill="background1"/>
            <w:vAlign w:val="bottom"/>
          </w:tcPr>
          <w:p w:rsidR="5383272C" w:rsidP="5383272C" w:rsidRDefault="5383272C" w14:paraId="5C390E89" w14:textId="502A1D21">
            <w:pPr>
              <w:rPr>
                <w:rFonts w:ascii="Times New Roman" w:hAnsi="Times New Roman" w:eastAsia="Times New Roman" w:cs="Times New Roman"/>
                <w:color w:val="000000" w:themeColor="text1"/>
              </w:rPr>
            </w:pPr>
            <w:r w:rsidRPr="5383272C">
              <w:rPr>
                <w:rFonts w:ascii="Times New Roman" w:hAnsi="Times New Roman" w:eastAsia="Times New Roman" w:cs="Times New Roman"/>
                <w:color w:val="000000" w:themeColor="text1"/>
              </w:rPr>
              <w:t>Urine albumin-to-creatinine ratio</w:t>
            </w:r>
          </w:p>
        </w:tc>
      </w:tr>
      <w:tr w:rsidR="5383272C" w:rsidTr="624E6FD9" w14:paraId="5791FF85"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FFFFF" w:themeFill="background1"/>
            <w:vAlign w:val="bottom"/>
          </w:tcPr>
          <w:p w:rsidR="5383272C" w:rsidP="5383272C" w:rsidRDefault="5383272C" w14:paraId="39C9BF31" w14:textId="7EC799D6">
            <w:pPr>
              <w:rPr>
                <w:rFonts w:ascii="Times New Roman" w:hAnsi="Times New Roman" w:eastAsia="Times New Roman" w:cs="Times New Roman"/>
                <w:color w:val="000000" w:themeColor="text1"/>
              </w:rPr>
            </w:pPr>
            <w:r w:rsidRPr="5383272C">
              <w:rPr>
                <w:rFonts w:ascii="Times New Roman" w:hAnsi="Times New Roman" w:eastAsia="Times New Roman" w:cs="Times New Roman"/>
                <w:color w:val="000000" w:themeColor="text1"/>
              </w:rPr>
              <w:t>Serum albumin</w:t>
            </w:r>
          </w:p>
        </w:tc>
      </w:tr>
      <w:tr w:rsidR="5383272C" w:rsidTr="624E6FD9" w14:paraId="319C64B3"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FFFFF" w:themeFill="background1"/>
            <w:vAlign w:val="bottom"/>
          </w:tcPr>
          <w:p w:rsidR="5383272C" w:rsidP="5383272C" w:rsidRDefault="5383272C" w14:paraId="04AE116D" w14:textId="18BC4581">
            <w:pPr>
              <w:rPr>
                <w:rFonts w:ascii="Times New Roman" w:hAnsi="Times New Roman" w:eastAsia="Times New Roman" w:cs="Times New Roman"/>
                <w:color w:val="000000" w:themeColor="text1"/>
              </w:rPr>
            </w:pPr>
            <w:r w:rsidRPr="5383272C">
              <w:rPr>
                <w:rFonts w:ascii="Times New Roman" w:hAnsi="Times New Roman" w:eastAsia="Times New Roman" w:cs="Times New Roman"/>
                <w:color w:val="000000" w:themeColor="text1"/>
              </w:rPr>
              <w:t>Serum bicarbonate</w:t>
            </w:r>
          </w:p>
        </w:tc>
      </w:tr>
      <w:tr w:rsidR="5383272C" w:rsidTr="624E6FD9" w14:paraId="6FE5C413"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FFFFF" w:themeFill="background1"/>
            <w:vAlign w:val="bottom"/>
          </w:tcPr>
          <w:p w:rsidR="5383272C" w:rsidP="5383272C" w:rsidRDefault="5383272C" w14:paraId="68D45A8F" w14:textId="26A59E42">
            <w:pPr>
              <w:rPr>
                <w:rFonts w:ascii="Times New Roman" w:hAnsi="Times New Roman" w:eastAsia="Times New Roman" w:cs="Times New Roman"/>
                <w:color w:val="000000" w:themeColor="text1"/>
              </w:rPr>
            </w:pPr>
            <w:r w:rsidRPr="5383272C">
              <w:rPr>
                <w:rFonts w:ascii="Times New Roman" w:hAnsi="Times New Roman" w:eastAsia="Times New Roman" w:cs="Times New Roman"/>
                <w:color w:val="000000" w:themeColor="text1"/>
              </w:rPr>
              <w:t>Serum phosphorous</w:t>
            </w:r>
          </w:p>
        </w:tc>
      </w:tr>
      <w:tr w:rsidR="5383272C" w:rsidTr="624E6FD9" w14:paraId="72C1BF59"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FFFFF" w:themeFill="background1"/>
            <w:vAlign w:val="bottom"/>
          </w:tcPr>
          <w:p w:rsidR="5383272C" w:rsidP="5383272C" w:rsidRDefault="5383272C" w14:paraId="37B3B4EA" w14:textId="29F3B5EF">
            <w:pPr>
              <w:rPr>
                <w:rFonts w:ascii="Times New Roman" w:hAnsi="Times New Roman" w:eastAsia="Times New Roman" w:cs="Times New Roman"/>
                <w:color w:val="000000" w:themeColor="text1"/>
              </w:rPr>
            </w:pPr>
            <w:r w:rsidRPr="5383272C">
              <w:rPr>
                <w:rFonts w:ascii="Times New Roman" w:hAnsi="Times New Roman" w:eastAsia="Times New Roman" w:cs="Times New Roman"/>
                <w:color w:val="000000" w:themeColor="text1"/>
              </w:rPr>
              <w:t>Serum calcium</w:t>
            </w:r>
          </w:p>
        </w:tc>
      </w:tr>
      <w:tr w:rsidR="5383272C" w:rsidTr="624E6FD9" w14:paraId="77206FD4"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2F2F2" w:themeFill="background1" w:themeFillShade="F2"/>
            <w:vAlign w:val="bottom"/>
          </w:tcPr>
          <w:p w:rsidR="5383272C" w:rsidP="1F9C4660" w:rsidRDefault="5383272C" w14:paraId="0771EEC6" w14:textId="20056971">
            <w:pPr>
              <w:rPr>
                <w:rFonts w:ascii="Times New Roman" w:hAnsi="Times New Roman" w:eastAsia="Times New Roman" w:cs="Times New Roman"/>
                <w:b/>
                <w:bCs/>
                <w:i/>
                <w:iCs/>
                <w:color w:val="000000" w:themeColor="text1"/>
              </w:rPr>
            </w:pPr>
            <w:r w:rsidRPr="1F9C4660">
              <w:rPr>
                <w:rFonts w:ascii="Times New Roman" w:hAnsi="Times New Roman" w:eastAsia="Times New Roman" w:cs="Times New Roman"/>
                <w:b/>
                <w:bCs/>
                <w:i/>
                <w:iCs/>
                <w:color w:val="000000" w:themeColor="text1"/>
              </w:rPr>
              <w:t xml:space="preserve">Neighborhood Social Drivers of Health </w:t>
            </w:r>
            <w:r w:rsidRPr="1F9C4660">
              <w:rPr>
                <w:rFonts w:ascii="Times New Roman" w:hAnsi="Times New Roman" w:eastAsia="Times New Roman" w:cs="Times New Roman"/>
                <w:color w:val="000000" w:themeColor="text1"/>
              </w:rPr>
              <w:t>(from the American Community Survey (ACS))</w:t>
            </w:r>
          </w:p>
        </w:tc>
      </w:tr>
      <w:tr w:rsidR="1F9C4660" w:rsidTr="624E6FD9" w14:paraId="23A1DAB1" w14:textId="77777777">
        <w:trPr>
          <w:trHeight w:val="270"/>
        </w:trPr>
        <w:tc>
          <w:tcPr>
            <w:tcW w:w="10030" w:type="dxa"/>
            <w:tcBorders>
              <w:top w:val="single" w:color="auto" w:sz="6" w:space="0"/>
              <w:left w:val="single" w:color="auto" w:sz="6" w:space="0"/>
              <w:bottom w:val="single" w:color="auto" w:sz="6" w:space="0"/>
              <w:right w:val="single" w:color="auto" w:sz="6" w:space="0"/>
            </w:tcBorders>
            <w:vAlign w:val="bottom"/>
          </w:tcPr>
          <w:p w:rsidR="1F9C4660" w:rsidP="6BF41D3A" w:rsidRDefault="1F9C4660" w14:paraId="0E47E461" w14:textId="61AD7E6A">
            <w:pPr>
              <w:rPr>
                <w:rFonts w:ascii="Times New Roman" w:hAnsi="Times New Roman" w:eastAsia="Times New Roman" w:cs="Times New Roman"/>
                <w:color w:val="000000" w:themeColor="text1"/>
              </w:rPr>
            </w:pPr>
            <w:r w:rsidRPr="6BF41D3A">
              <w:rPr>
                <w:rFonts w:ascii="Times New Roman" w:hAnsi="Times New Roman" w:eastAsia="Times New Roman" w:cs="Times New Roman"/>
                <w:color w:val="000000" w:themeColor="text1"/>
              </w:rPr>
              <w:t>Area Deprivation Index (categorical: high, medium, low based on quartiles of distribution)</w:t>
            </w:r>
          </w:p>
        </w:tc>
      </w:tr>
      <w:tr w:rsidR="5383272C" w:rsidTr="624E6FD9" w14:paraId="31E795C4"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FFFFF" w:themeFill="background1"/>
            <w:vAlign w:val="bottom"/>
          </w:tcPr>
          <w:p w:rsidR="5383272C" w:rsidP="5383272C" w:rsidRDefault="5383272C" w14:paraId="6092F1F0" w14:textId="637B5931">
            <w:pPr>
              <w:rPr>
                <w:rFonts w:ascii="Times New Roman" w:hAnsi="Times New Roman" w:eastAsia="Times New Roman" w:cs="Times New Roman"/>
                <w:color w:val="000000" w:themeColor="text1"/>
              </w:rPr>
            </w:pPr>
            <w:r w:rsidRPr="5383272C">
              <w:rPr>
                <w:rFonts w:ascii="Times New Roman" w:hAnsi="Times New Roman" w:eastAsia="Times New Roman" w:cs="Times New Roman"/>
                <w:color w:val="000000" w:themeColor="text1"/>
              </w:rPr>
              <w:t>Population aged ≥ 25 with &lt;9 years of education (%)</w:t>
            </w:r>
          </w:p>
        </w:tc>
      </w:tr>
      <w:tr w:rsidR="5383272C" w:rsidTr="624E6FD9" w14:paraId="4CA082B3"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FFFFF" w:themeFill="background1"/>
            <w:vAlign w:val="bottom"/>
          </w:tcPr>
          <w:p w:rsidR="5383272C" w:rsidP="5383272C" w:rsidRDefault="5383272C" w14:paraId="3043607B" w14:textId="1AAFD4BC">
            <w:pPr>
              <w:rPr>
                <w:rFonts w:ascii="Times New Roman" w:hAnsi="Times New Roman" w:eastAsia="Times New Roman" w:cs="Times New Roman"/>
                <w:color w:val="000000" w:themeColor="text1"/>
              </w:rPr>
            </w:pPr>
            <w:r w:rsidRPr="5383272C">
              <w:rPr>
                <w:rFonts w:ascii="Times New Roman" w:hAnsi="Times New Roman" w:eastAsia="Times New Roman" w:cs="Times New Roman"/>
                <w:color w:val="000000" w:themeColor="text1"/>
              </w:rPr>
              <w:t>Population aged ≥25 with at least a high school diploma (%)</w:t>
            </w:r>
          </w:p>
        </w:tc>
      </w:tr>
      <w:tr w:rsidR="5383272C" w:rsidTr="624E6FD9" w14:paraId="42FC067F"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FFFFF" w:themeFill="background1"/>
            <w:vAlign w:val="bottom"/>
          </w:tcPr>
          <w:p w:rsidR="5383272C" w:rsidP="5383272C" w:rsidRDefault="5383272C" w14:paraId="25EDC8B8" w14:textId="5E2066AC">
            <w:pPr>
              <w:rPr>
                <w:rFonts w:ascii="Times New Roman" w:hAnsi="Times New Roman" w:eastAsia="Times New Roman" w:cs="Times New Roman"/>
                <w:color w:val="000000" w:themeColor="text1"/>
              </w:rPr>
            </w:pPr>
            <w:r w:rsidRPr="5383272C">
              <w:rPr>
                <w:rFonts w:ascii="Times New Roman" w:hAnsi="Times New Roman" w:eastAsia="Times New Roman" w:cs="Times New Roman"/>
                <w:color w:val="000000" w:themeColor="text1"/>
              </w:rPr>
              <w:t>Median household income ($)</w:t>
            </w:r>
          </w:p>
        </w:tc>
      </w:tr>
      <w:tr w:rsidR="5383272C" w:rsidTr="624E6FD9" w14:paraId="4924808F"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FFFFF" w:themeFill="background1"/>
            <w:vAlign w:val="bottom"/>
          </w:tcPr>
          <w:p w:rsidR="5383272C" w:rsidP="5383272C" w:rsidRDefault="5383272C" w14:paraId="23877016" w14:textId="456FC64E">
            <w:pPr>
              <w:rPr>
                <w:rFonts w:ascii="Times New Roman" w:hAnsi="Times New Roman" w:eastAsia="Times New Roman" w:cs="Times New Roman"/>
                <w:color w:val="000000" w:themeColor="text1"/>
              </w:rPr>
            </w:pPr>
            <w:r w:rsidRPr="5383272C">
              <w:rPr>
                <w:rFonts w:ascii="Times New Roman" w:hAnsi="Times New Roman" w:eastAsia="Times New Roman" w:cs="Times New Roman"/>
                <w:color w:val="000000" w:themeColor="text1"/>
              </w:rPr>
              <w:t>Median home value ($)</w:t>
            </w:r>
          </w:p>
        </w:tc>
      </w:tr>
      <w:tr w:rsidR="5383272C" w:rsidTr="624E6FD9" w14:paraId="175EDC39"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FFFFF" w:themeFill="background1"/>
            <w:vAlign w:val="bottom"/>
          </w:tcPr>
          <w:p w:rsidR="5383272C" w:rsidP="5383272C" w:rsidRDefault="5383272C" w14:paraId="5388F795" w14:textId="522B0C14">
            <w:pPr>
              <w:rPr>
                <w:rFonts w:ascii="Times New Roman" w:hAnsi="Times New Roman" w:eastAsia="Times New Roman" w:cs="Times New Roman"/>
                <w:color w:val="000000" w:themeColor="text1"/>
              </w:rPr>
            </w:pPr>
            <w:r w:rsidRPr="5383272C">
              <w:rPr>
                <w:rFonts w:ascii="Times New Roman" w:hAnsi="Times New Roman" w:eastAsia="Times New Roman" w:cs="Times New Roman"/>
                <w:color w:val="000000" w:themeColor="text1"/>
              </w:rPr>
              <w:t>Median gross rent ($)</w:t>
            </w:r>
          </w:p>
        </w:tc>
      </w:tr>
      <w:tr w:rsidR="5383272C" w:rsidTr="624E6FD9" w14:paraId="1D6F9786"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FFFFF" w:themeFill="background1"/>
            <w:vAlign w:val="bottom"/>
          </w:tcPr>
          <w:p w:rsidR="5383272C" w:rsidP="5383272C" w:rsidRDefault="5383272C" w14:paraId="1A31F839" w14:textId="6CE901D4">
            <w:pPr>
              <w:rPr>
                <w:rFonts w:ascii="Times New Roman" w:hAnsi="Times New Roman" w:eastAsia="Times New Roman" w:cs="Times New Roman"/>
                <w:color w:val="000000" w:themeColor="text1"/>
              </w:rPr>
            </w:pPr>
            <w:r w:rsidRPr="5383272C">
              <w:rPr>
                <w:rFonts w:ascii="Times New Roman" w:hAnsi="Times New Roman" w:eastAsia="Times New Roman" w:cs="Times New Roman"/>
                <w:color w:val="000000" w:themeColor="text1"/>
              </w:rPr>
              <w:t>Median monthly mortgage ($)</w:t>
            </w:r>
          </w:p>
        </w:tc>
      </w:tr>
      <w:tr w:rsidR="5383272C" w:rsidTr="624E6FD9" w14:paraId="269BCF5A"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FFFFF" w:themeFill="background1"/>
            <w:vAlign w:val="bottom"/>
          </w:tcPr>
          <w:p w:rsidR="5383272C" w:rsidP="5383272C" w:rsidRDefault="5383272C" w14:paraId="6B2C2C58" w14:textId="6713E61B">
            <w:pPr>
              <w:rPr>
                <w:rFonts w:ascii="Times New Roman" w:hAnsi="Times New Roman" w:eastAsia="Times New Roman" w:cs="Times New Roman"/>
                <w:color w:val="000000" w:themeColor="text1"/>
              </w:rPr>
            </w:pPr>
            <w:r w:rsidRPr="5383272C">
              <w:rPr>
                <w:rFonts w:ascii="Times New Roman" w:hAnsi="Times New Roman" w:eastAsia="Times New Roman" w:cs="Times New Roman"/>
                <w:color w:val="000000" w:themeColor="text1"/>
              </w:rPr>
              <w:t>Income disparity ($)</w:t>
            </w:r>
          </w:p>
        </w:tc>
      </w:tr>
      <w:tr w:rsidR="5383272C" w:rsidTr="624E6FD9" w14:paraId="3F12720A"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FFFFF" w:themeFill="background1"/>
            <w:vAlign w:val="bottom"/>
          </w:tcPr>
          <w:p w:rsidR="5383272C" w:rsidP="5383272C" w:rsidRDefault="5383272C" w14:paraId="7C144604" w14:textId="3788743B">
            <w:pPr>
              <w:rPr>
                <w:rFonts w:ascii="Times New Roman" w:hAnsi="Times New Roman" w:eastAsia="Times New Roman" w:cs="Times New Roman"/>
                <w:color w:val="000000" w:themeColor="text1"/>
              </w:rPr>
            </w:pPr>
            <w:r w:rsidRPr="5383272C">
              <w:rPr>
                <w:rFonts w:ascii="Times New Roman" w:hAnsi="Times New Roman" w:eastAsia="Times New Roman" w:cs="Times New Roman"/>
                <w:color w:val="000000" w:themeColor="text1"/>
              </w:rPr>
              <w:t>Employed persons aged ≥16 in white-collar occupations (%)</w:t>
            </w:r>
          </w:p>
        </w:tc>
      </w:tr>
      <w:tr w:rsidR="5383272C" w:rsidTr="624E6FD9" w14:paraId="6A2C6FE7"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FFFFF" w:themeFill="background1"/>
            <w:vAlign w:val="bottom"/>
          </w:tcPr>
          <w:p w:rsidR="5383272C" w:rsidP="5383272C" w:rsidRDefault="5383272C" w14:paraId="65FDC6E9" w14:textId="416613AD">
            <w:pPr>
              <w:rPr>
                <w:rFonts w:ascii="Times New Roman" w:hAnsi="Times New Roman" w:eastAsia="Times New Roman" w:cs="Times New Roman"/>
                <w:color w:val="000000" w:themeColor="text1"/>
              </w:rPr>
            </w:pPr>
            <w:r w:rsidRPr="5383272C">
              <w:rPr>
                <w:rFonts w:ascii="Times New Roman" w:hAnsi="Times New Roman" w:eastAsia="Times New Roman" w:cs="Times New Roman"/>
                <w:color w:val="000000" w:themeColor="text1"/>
              </w:rPr>
              <w:t>Civilian labor force population aged ≥16 unemployed (%)</w:t>
            </w:r>
          </w:p>
        </w:tc>
      </w:tr>
      <w:tr w:rsidR="5383272C" w:rsidTr="624E6FD9" w14:paraId="50D2890C"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FFFFF" w:themeFill="background1"/>
            <w:vAlign w:val="bottom"/>
          </w:tcPr>
          <w:p w:rsidR="5383272C" w:rsidP="5383272C" w:rsidRDefault="5383272C" w14:paraId="7CDE83AA" w14:textId="52D42F9D">
            <w:pPr>
              <w:rPr>
                <w:rFonts w:ascii="Times New Roman" w:hAnsi="Times New Roman" w:eastAsia="Times New Roman" w:cs="Times New Roman"/>
                <w:color w:val="000000" w:themeColor="text1"/>
              </w:rPr>
            </w:pPr>
            <w:r w:rsidRPr="5383272C">
              <w:rPr>
                <w:rFonts w:ascii="Times New Roman" w:hAnsi="Times New Roman" w:eastAsia="Times New Roman" w:cs="Times New Roman"/>
                <w:color w:val="000000" w:themeColor="text1"/>
              </w:rPr>
              <w:t>Families below the federal poverty level (%)</w:t>
            </w:r>
          </w:p>
        </w:tc>
      </w:tr>
      <w:tr w:rsidR="5383272C" w:rsidTr="624E6FD9" w14:paraId="1CDACB4D"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FFFFF" w:themeFill="background1"/>
            <w:vAlign w:val="bottom"/>
          </w:tcPr>
          <w:p w:rsidR="5383272C" w:rsidP="5383272C" w:rsidRDefault="5383272C" w14:paraId="78E37002" w14:textId="4554A724">
            <w:pPr>
              <w:rPr>
                <w:rFonts w:ascii="Times New Roman" w:hAnsi="Times New Roman" w:eastAsia="Times New Roman" w:cs="Times New Roman"/>
                <w:color w:val="000000" w:themeColor="text1"/>
              </w:rPr>
            </w:pPr>
            <w:r w:rsidRPr="5383272C">
              <w:rPr>
                <w:rFonts w:ascii="Times New Roman" w:hAnsi="Times New Roman" w:eastAsia="Times New Roman" w:cs="Times New Roman"/>
                <w:color w:val="000000" w:themeColor="text1"/>
              </w:rPr>
              <w:t>Population below 150% of the federal poverty level (%)</w:t>
            </w:r>
          </w:p>
        </w:tc>
      </w:tr>
      <w:tr w:rsidR="5383272C" w:rsidTr="624E6FD9" w14:paraId="5E368EF0"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FFFFF" w:themeFill="background1"/>
            <w:vAlign w:val="bottom"/>
          </w:tcPr>
          <w:p w:rsidR="5383272C" w:rsidP="5383272C" w:rsidRDefault="5383272C" w14:paraId="60F44328" w14:textId="5AFE6726">
            <w:pPr>
              <w:rPr>
                <w:rFonts w:ascii="Times New Roman" w:hAnsi="Times New Roman" w:eastAsia="Times New Roman" w:cs="Times New Roman"/>
                <w:color w:val="000000" w:themeColor="text1"/>
              </w:rPr>
            </w:pPr>
            <w:r w:rsidRPr="5383272C">
              <w:rPr>
                <w:rFonts w:ascii="Times New Roman" w:hAnsi="Times New Roman" w:eastAsia="Times New Roman" w:cs="Times New Roman"/>
                <w:color w:val="000000" w:themeColor="text1"/>
              </w:rPr>
              <w:t>Owner-occupied housing units (%)</w:t>
            </w:r>
          </w:p>
        </w:tc>
      </w:tr>
      <w:tr w:rsidR="5383272C" w:rsidTr="624E6FD9" w14:paraId="56AC06A6"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FFFFF" w:themeFill="background1"/>
            <w:vAlign w:val="bottom"/>
          </w:tcPr>
          <w:p w:rsidR="5383272C" w:rsidP="5383272C" w:rsidRDefault="5383272C" w14:paraId="1B854EDD" w14:textId="02C4DEA7">
            <w:pPr>
              <w:rPr>
                <w:rFonts w:ascii="Times New Roman" w:hAnsi="Times New Roman" w:eastAsia="Times New Roman" w:cs="Times New Roman"/>
                <w:color w:val="000000" w:themeColor="text1"/>
              </w:rPr>
            </w:pPr>
            <w:r w:rsidRPr="5383272C">
              <w:rPr>
                <w:rFonts w:ascii="Times New Roman" w:hAnsi="Times New Roman" w:eastAsia="Times New Roman" w:cs="Times New Roman"/>
                <w:color w:val="000000" w:themeColor="text1"/>
              </w:rPr>
              <w:t>Occupied housing units without complete plumbing (%)</w:t>
            </w:r>
          </w:p>
        </w:tc>
      </w:tr>
      <w:tr w:rsidR="5383272C" w:rsidTr="624E6FD9" w14:paraId="31320E73"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FFFFF" w:themeFill="background1"/>
            <w:vAlign w:val="bottom"/>
          </w:tcPr>
          <w:p w:rsidR="5383272C" w:rsidP="5383272C" w:rsidRDefault="5383272C" w14:paraId="7EF70F32" w14:textId="67509431">
            <w:pPr>
              <w:rPr>
                <w:rFonts w:ascii="Times New Roman" w:hAnsi="Times New Roman" w:eastAsia="Times New Roman" w:cs="Times New Roman"/>
                <w:color w:val="000000" w:themeColor="text1"/>
              </w:rPr>
            </w:pPr>
            <w:r w:rsidRPr="5383272C">
              <w:rPr>
                <w:rFonts w:ascii="Times New Roman" w:hAnsi="Times New Roman" w:eastAsia="Times New Roman" w:cs="Times New Roman"/>
                <w:color w:val="000000" w:themeColor="text1"/>
              </w:rPr>
              <w:t>Occupied housing units without a telephone (%)</w:t>
            </w:r>
          </w:p>
        </w:tc>
      </w:tr>
      <w:tr w:rsidR="5383272C" w:rsidTr="624E6FD9" w14:paraId="57B05A60"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FFFFF" w:themeFill="background1"/>
            <w:vAlign w:val="bottom"/>
          </w:tcPr>
          <w:p w:rsidR="5383272C" w:rsidP="5383272C" w:rsidRDefault="5383272C" w14:paraId="643A916E" w14:textId="7932B418">
            <w:pPr>
              <w:rPr>
                <w:rFonts w:ascii="Times New Roman" w:hAnsi="Times New Roman" w:eastAsia="Times New Roman" w:cs="Times New Roman"/>
                <w:color w:val="000000" w:themeColor="text1"/>
              </w:rPr>
            </w:pPr>
            <w:r w:rsidRPr="5383272C">
              <w:rPr>
                <w:rFonts w:ascii="Times New Roman" w:hAnsi="Times New Roman" w:eastAsia="Times New Roman" w:cs="Times New Roman"/>
                <w:color w:val="000000" w:themeColor="text1"/>
              </w:rPr>
              <w:t>Occupied housing units without a motor vehicle (%)</w:t>
            </w:r>
          </w:p>
        </w:tc>
      </w:tr>
      <w:tr w:rsidR="5383272C" w:rsidTr="624E6FD9" w14:paraId="1339BEEC"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FFFFF" w:themeFill="background1"/>
            <w:vAlign w:val="bottom"/>
          </w:tcPr>
          <w:p w:rsidR="5383272C" w:rsidP="5383272C" w:rsidRDefault="5383272C" w14:paraId="134C9FAD" w14:textId="6B4A0BB1">
            <w:pPr>
              <w:rPr>
                <w:rFonts w:ascii="Times New Roman" w:hAnsi="Times New Roman" w:eastAsia="Times New Roman" w:cs="Times New Roman"/>
                <w:color w:val="000000" w:themeColor="text1"/>
              </w:rPr>
            </w:pPr>
            <w:r w:rsidRPr="5383272C">
              <w:rPr>
                <w:rFonts w:ascii="Times New Roman" w:hAnsi="Times New Roman" w:eastAsia="Times New Roman" w:cs="Times New Roman"/>
                <w:color w:val="000000" w:themeColor="text1"/>
              </w:rPr>
              <w:t>Occupied housing units with &gt;1 person per room (%)</w:t>
            </w:r>
          </w:p>
        </w:tc>
      </w:tr>
      <w:tr w:rsidR="5383272C" w:rsidTr="624E6FD9" w14:paraId="42377B0D" w14:textId="77777777">
        <w:trPr>
          <w:trHeight w:val="270"/>
        </w:trPr>
        <w:tc>
          <w:tcPr>
            <w:tcW w:w="10030" w:type="dxa"/>
            <w:tcBorders>
              <w:top w:val="single" w:color="auto" w:sz="6" w:space="0"/>
              <w:left w:val="single" w:color="auto" w:sz="6" w:space="0"/>
              <w:bottom w:val="single" w:color="auto" w:sz="6" w:space="0"/>
              <w:right w:val="single" w:color="auto" w:sz="6" w:space="0"/>
            </w:tcBorders>
            <w:shd w:val="clear" w:color="auto" w:fill="FFFFFF" w:themeFill="background1"/>
            <w:vAlign w:val="bottom"/>
          </w:tcPr>
          <w:p w:rsidR="5383272C" w:rsidP="5383272C" w:rsidRDefault="5383272C" w14:paraId="2B5F82F2" w14:textId="093EA4FC">
            <w:pPr>
              <w:rPr>
                <w:rFonts w:ascii="Times New Roman" w:hAnsi="Times New Roman" w:eastAsia="Times New Roman" w:cs="Times New Roman"/>
                <w:color w:val="000000" w:themeColor="text1"/>
              </w:rPr>
            </w:pPr>
            <w:r w:rsidRPr="5383272C">
              <w:rPr>
                <w:rFonts w:ascii="Times New Roman" w:hAnsi="Times New Roman" w:eastAsia="Times New Roman" w:cs="Times New Roman"/>
                <w:color w:val="000000" w:themeColor="text1"/>
              </w:rPr>
              <w:t>Single-parent households with children aged &lt;18 (%)</w:t>
            </w:r>
          </w:p>
        </w:tc>
      </w:tr>
    </w:tbl>
    <w:p w:rsidR="00410B0B" w:rsidP="00335132" w:rsidRDefault="00410B0B" w14:paraId="549FED17" w14:textId="122F41CE">
      <w:pPr>
        <w:rPr>
          <w:rFonts w:ascii="Times New Roman" w:hAnsi="Times New Roman" w:eastAsia="Times New Roman" w:cs="Times New Roman"/>
          <w:color w:val="000000" w:themeColor="text1"/>
          <w:sz w:val="24"/>
          <w:szCs w:val="24"/>
        </w:rPr>
      </w:pPr>
    </w:p>
    <w:p w:rsidR="00410B0B" w:rsidP="35A31DE5" w:rsidRDefault="5383272C" w14:paraId="2DD948C5" w14:textId="0B214E1D">
      <w:pPr>
        <w:rPr>
          <w:rFonts w:ascii="Times New Roman" w:hAnsi="Times New Roman" w:eastAsia="Times New Roman" w:cs="Times New Roman"/>
          <w:color w:val="201F1E"/>
          <w:sz w:val="24"/>
          <w:szCs w:val="24"/>
        </w:rPr>
      </w:pPr>
      <w:r w:rsidRPr="35A31DE5" w:rsidR="01A8E401">
        <w:rPr>
          <w:rFonts w:ascii="Times New Roman" w:hAnsi="Times New Roman" w:eastAsia="Times New Roman" w:cs="Times New Roman"/>
          <w:color w:val="000000" w:themeColor="text1" w:themeTint="FF" w:themeShade="FF"/>
          <w:sz w:val="24"/>
          <w:szCs w:val="24"/>
        </w:rPr>
        <w:t xml:space="preserve">Neighborhood social drivers of health will be examined using the area deprivation index (ADI) based on the patient’s residential address by census block and linked to the dataset from the publicly available American Community Survey (ACS). </w:t>
      </w:r>
      <w:r w:rsidRPr="35A31DE5" w:rsidR="01A8E401">
        <w:rPr>
          <w:rFonts w:ascii="Times New Roman" w:hAnsi="Times New Roman" w:eastAsia="Times New Roman" w:cs="Times New Roman"/>
          <w:color w:val="201F1E"/>
          <w:sz w:val="24"/>
          <w:szCs w:val="24"/>
        </w:rPr>
        <w:t>ADI is an index of seventeen socioeconomic indicators from the ACS 5-year sample. We will test use of the composite ADI versus its individual components in the study’s analysis. The individual components of ADI are outlined in Table 1.</w:t>
      </w:r>
    </w:p>
    <w:p w:rsidR="00410B0B" w:rsidP="35A31DE5" w:rsidRDefault="00410B0B" w14:paraId="55857E71" w14:textId="1C104559">
      <w:pPr>
        <w:spacing w:after="0"/>
        <w:rPr>
          <w:rFonts w:ascii="Times New Roman" w:hAnsi="Times New Roman" w:eastAsia="Times New Roman" w:cs="Times New Roman"/>
          <w:sz w:val="24"/>
          <w:szCs w:val="24"/>
        </w:rPr>
      </w:pPr>
    </w:p>
    <w:p w:rsidR="00410B0B" w:rsidP="35A31DE5" w:rsidRDefault="5383272C" w14:paraId="054958CA" w14:textId="4D04BBCA">
      <w:pPr>
        <w:spacing w:after="0"/>
        <w:rPr>
          <w:rFonts w:ascii="Times New Roman" w:hAnsi="Times New Roman" w:eastAsia="Times New Roman" w:cs="Times New Roman"/>
          <w:color w:val="000000" w:themeColor="text1"/>
          <w:sz w:val="24"/>
          <w:szCs w:val="24"/>
        </w:rPr>
      </w:pPr>
      <w:r w:rsidRPr="35A31DE5" w:rsidR="01A8E401">
        <w:rPr>
          <w:rFonts w:ascii="Times New Roman" w:hAnsi="Times New Roman" w:eastAsia="Times New Roman" w:cs="Times New Roman"/>
          <w:color w:val="000000" w:themeColor="text1" w:themeTint="FF" w:themeShade="FF"/>
          <w:sz w:val="24"/>
          <w:szCs w:val="24"/>
        </w:rPr>
        <w:t>After the composition of the study dataset, we will perform the following analytic procedures:</w:t>
      </w:r>
    </w:p>
    <w:p w:rsidR="6BF41D3A" w:rsidP="35A31DE5" w:rsidRDefault="6BF41D3A" w14:paraId="4C7F8557" w14:textId="1CA557A8">
      <w:pPr>
        <w:spacing w:after="0"/>
        <w:rPr>
          <w:rFonts w:ascii="Times New Roman" w:hAnsi="Times New Roman" w:eastAsia="Times New Roman" w:cs="Times New Roman"/>
          <w:color w:val="000000" w:themeColor="text1"/>
          <w:sz w:val="24"/>
          <w:szCs w:val="24"/>
        </w:rPr>
      </w:pPr>
    </w:p>
    <w:p w:rsidR="00410B0B" w:rsidP="35A31DE5" w:rsidRDefault="5383272C" w14:paraId="778C9EDC" w14:textId="30DF866F">
      <w:pPr>
        <w:rPr>
          <w:rFonts w:ascii="Times New Roman" w:hAnsi="Times New Roman" w:eastAsia="Times New Roman" w:cs="Times New Roman"/>
          <w:color w:val="000000" w:themeColor="text1"/>
          <w:sz w:val="24"/>
          <w:szCs w:val="24"/>
        </w:rPr>
      </w:pPr>
      <w:r w:rsidRPr="35A31DE5" w:rsidR="01A8E401">
        <w:rPr>
          <w:rFonts w:ascii="Times New Roman" w:hAnsi="Times New Roman" w:eastAsia="Times New Roman" w:cs="Times New Roman"/>
          <w:color w:val="000000" w:themeColor="text1" w:themeTint="FF" w:themeShade="FF"/>
          <w:sz w:val="24"/>
          <w:szCs w:val="24"/>
        </w:rPr>
        <w:t>(1) Descriptive Statistics</w:t>
      </w:r>
    </w:p>
    <w:p w:rsidR="00410B0B" w:rsidP="35A31DE5" w:rsidRDefault="5383272C" w14:paraId="1651759B" w14:textId="0A3E4537">
      <w:pPr>
        <w:rPr>
          <w:rFonts w:ascii="Times New Roman" w:hAnsi="Times New Roman" w:eastAsia="Times New Roman" w:cs="Times New Roman"/>
          <w:color w:val="000000" w:themeColor="text1"/>
          <w:sz w:val="24"/>
          <w:szCs w:val="24"/>
        </w:rPr>
      </w:pPr>
      <w:r w:rsidRPr="35A31DE5" w:rsidR="01A8E401">
        <w:rPr>
          <w:rFonts w:ascii="Times New Roman" w:hAnsi="Times New Roman" w:eastAsia="Times New Roman" w:cs="Times New Roman"/>
          <w:color w:val="000000" w:themeColor="text1" w:themeTint="FF" w:themeShade="FF"/>
          <w:sz w:val="24"/>
          <w:szCs w:val="24"/>
        </w:rPr>
        <w:t>We will perform descriptive statistics comparing patient demographics, comorbidities, and behavioral factors, lab findings, and neighborhood characteristics between the reference group and the comparison groups (outlined in Table 2). We will use Chi-Square tests for categorical variables and two-sample t-tests for continuous variables.</w:t>
      </w:r>
    </w:p>
    <w:p w:rsidR="1F9C4660" w:rsidP="35A31DE5" w:rsidRDefault="1F9C4660" w14:paraId="7C68B8E7" w14:textId="0E25B3BC">
      <w:pPr>
        <w:rPr>
          <w:rFonts w:ascii="Times New Roman" w:hAnsi="Times New Roman" w:eastAsia="Times New Roman" w:cs="Times New Roman"/>
          <w:color w:val="000000" w:themeColor="text1"/>
          <w:sz w:val="24"/>
          <w:szCs w:val="24"/>
        </w:rPr>
      </w:pPr>
      <w:r w:rsidRPr="35A31DE5" w:rsidR="738E3A35">
        <w:rPr>
          <w:rFonts w:ascii="Times New Roman" w:hAnsi="Times New Roman" w:eastAsia="Times New Roman" w:cs="Times New Roman"/>
          <w:color w:val="000000" w:themeColor="text1" w:themeTint="FF" w:themeShade="FF"/>
          <w:sz w:val="24"/>
          <w:szCs w:val="24"/>
        </w:rPr>
        <w:t xml:space="preserve">(2) Logistic Regression Analysis </w:t>
      </w:r>
    </w:p>
    <w:p w:rsidR="00410B0B" w:rsidP="35A31DE5" w:rsidRDefault="5383272C" w14:paraId="713D6BDA" w14:textId="52E6FA1F">
      <w:pPr>
        <w:rPr>
          <w:rFonts w:ascii="Times New Roman" w:hAnsi="Times New Roman" w:eastAsia="Times New Roman" w:cs="Times New Roman"/>
          <w:color w:val="000000" w:themeColor="text1"/>
          <w:sz w:val="24"/>
          <w:szCs w:val="24"/>
        </w:rPr>
      </w:pPr>
      <w:r w:rsidRPr="35A31DE5" w:rsidR="01A8E401">
        <w:rPr>
          <w:rFonts w:ascii="Times New Roman" w:hAnsi="Times New Roman" w:eastAsia="Times New Roman" w:cs="Times New Roman"/>
          <w:color w:val="000000" w:themeColor="text1" w:themeTint="FF" w:themeShade="FF"/>
          <w:sz w:val="24"/>
          <w:szCs w:val="24"/>
        </w:rPr>
        <w:t>We will perform univariate logistic regression to describe the relationship between variables in the data set with (a) disparity in the odds of first nephrology visit within 3 months of newly diagnosed Stage 3 CKD and (b) newly diagnosed Stage 4 CKD. We will then perform multivariate logistic regressions for these same outcome measures to risk-adjust for covariates associated with the outcome.</w:t>
      </w:r>
      <w:r>
        <w:tab/>
      </w:r>
    </w:p>
    <w:p w:rsidR="1F9C4660" w:rsidP="35A31DE5" w:rsidRDefault="1F9C4660" w14:paraId="00BCA7CE" w14:textId="5BEFE19E">
      <w:pPr>
        <w:rPr>
          <w:rFonts w:ascii="Times New Roman" w:hAnsi="Times New Roman" w:eastAsia="Times New Roman" w:cs="Times New Roman"/>
          <w:color w:val="000000" w:themeColor="text1"/>
          <w:sz w:val="24"/>
          <w:szCs w:val="24"/>
        </w:rPr>
      </w:pPr>
      <w:r w:rsidRPr="35A31DE5" w:rsidR="738E3A35">
        <w:rPr>
          <w:rFonts w:ascii="Times New Roman" w:hAnsi="Times New Roman" w:eastAsia="Times New Roman" w:cs="Times New Roman"/>
          <w:color w:val="000000" w:themeColor="text1" w:themeTint="FF" w:themeShade="FF"/>
          <w:sz w:val="24"/>
          <w:szCs w:val="24"/>
        </w:rPr>
        <w:t>(3) Linear Regression Analysis</w:t>
      </w:r>
    </w:p>
    <w:p w:rsidR="00410B0B" w:rsidP="35A31DE5" w:rsidRDefault="5383272C" w14:paraId="1EF7C51B" w14:textId="52922714">
      <w:pPr>
        <w:rPr>
          <w:rFonts w:ascii="Times New Roman" w:hAnsi="Times New Roman" w:eastAsia="Times New Roman" w:cs="Times New Roman"/>
          <w:color w:val="000000" w:themeColor="text1"/>
          <w:sz w:val="24"/>
          <w:szCs w:val="24"/>
        </w:rPr>
      </w:pPr>
      <w:r w:rsidRPr="35A31DE5" w:rsidR="01A8E401">
        <w:rPr>
          <w:rFonts w:ascii="Times New Roman" w:hAnsi="Times New Roman" w:eastAsia="Times New Roman" w:cs="Times New Roman"/>
          <w:color w:val="000000" w:themeColor="text1" w:themeTint="FF" w:themeShade="FF"/>
          <w:sz w:val="24"/>
          <w:szCs w:val="24"/>
        </w:rPr>
        <w:t>We will use multivariate linear regression analysis to examine disparities in (a) the number of days for nephrology referral by the primary care physician, (b) the number of days until the first nephrology visit among newly diagnosed Stage 3 and Stage 4 CKD patients and (c) the number of days</w:t>
      </w:r>
      <w:r w:rsidRPr="35A31DE5" w:rsidR="01A8E401">
        <w:rPr>
          <w:rFonts w:ascii="Times New Roman" w:hAnsi="Times New Roman" w:eastAsia="Times New Roman" w:cs="Times New Roman"/>
          <w:sz w:val="24"/>
          <w:szCs w:val="24"/>
        </w:rPr>
        <w:t xml:space="preserve"> from the first eGFR value &lt; </w:t>
      </w:r>
      <w:r w:rsidRPr="35A31DE5" w:rsidR="01A8E401">
        <w:rPr>
          <w:rFonts w:ascii="Times New Roman" w:hAnsi="Times New Roman" w:eastAsia="Times New Roman" w:cs="Times New Roman"/>
          <w:sz w:val="24"/>
          <w:szCs w:val="24"/>
        </w:rPr>
        <w:t>60</w:t>
      </w:r>
      <w:r w:rsidRPr="35A31DE5" w:rsidR="01A8E401">
        <w:rPr>
          <w:rFonts w:ascii="Times New Roman" w:hAnsi="Times New Roman" w:eastAsia="Times New Roman" w:cs="Times New Roman"/>
          <w:sz w:val="24"/>
          <w:szCs w:val="24"/>
        </w:rPr>
        <w:t xml:space="preserve"> ml/min/173m</w:t>
      </w:r>
      <w:r w:rsidRPr="35A31DE5" w:rsidR="01A8E401">
        <w:rPr>
          <w:rFonts w:ascii="Times New Roman" w:hAnsi="Times New Roman" w:eastAsia="Times New Roman" w:cs="Times New Roman"/>
          <w:sz w:val="24"/>
          <w:szCs w:val="24"/>
          <w:vertAlign w:val="superscript"/>
        </w:rPr>
        <w:t>2</w:t>
      </w:r>
      <w:r w:rsidRPr="35A31DE5" w:rsidR="01A8E401">
        <w:rPr>
          <w:rFonts w:ascii="Times New Roman" w:hAnsi="Times New Roman" w:eastAsia="Times New Roman" w:cs="Times New Roman"/>
          <w:sz w:val="24"/>
          <w:szCs w:val="24"/>
        </w:rPr>
        <w:t xml:space="preserve"> and the second eGFR test.</w:t>
      </w:r>
    </w:p>
    <w:tbl>
      <w:tblPr>
        <w:tblW w:w="0" w:type="auto"/>
        <w:tblLayout w:type="fixed"/>
        <w:tblLook w:val="04A0" w:firstRow="1" w:lastRow="0" w:firstColumn="1" w:lastColumn="0" w:noHBand="0" w:noVBand="1"/>
      </w:tblPr>
      <w:tblGrid>
        <w:gridCol w:w="1800"/>
        <w:gridCol w:w="3285"/>
        <w:gridCol w:w="3735"/>
      </w:tblGrid>
      <w:tr w:rsidR="5383272C" w:rsidTr="35A31DE5" w14:paraId="7AF4073B" w14:textId="77777777">
        <w:trPr>
          <w:trHeight w:val="300"/>
        </w:trPr>
        <w:tc>
          <w:tcPr>
            <w:tcW w:w="8820" w:type="dxa"/>
            <w:gridSpan w:val="3"/>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bottom"/>
          </w:tcPr>
          <w:p w:rsidR="5383272C" w:rsidP="35A31DE5" w:rsidRDefault="5383272C" w14:paraId="360309CF" w14:textId="1FD77EC9">
            <w:pPr>
              <w:rPr>
                <w:rFonts w:ascii="Times New Roman" w:hAnsi="Times New Roman" w:eastAsia="Times New Roman" w:cs="Times New Roman"/>
                <w:color w:val="000000" w:themeColor="text1"/>
                <w:sz w:val="22"/>
                <w:szCs w:val="22"/>
              </w:rPr>
            </w:pPr>
            <w:r w:rsidRPr="35A31DE5" w:rsidR="01A8E401">
              <w:rPr>
                <w:rFonts w:ascii="Times New Roman" w:hAnsi="Times New Roman" w:eastAsia="Times New Roman" w:cs="Times New Roman"/>
                <w:b w:val="1"/>
                <w:bCs w:val="1"/>
                <w:color w:val="000000" w:themeColor="text1" w:themeTint="FF" w:themeShade="FF"/>
                <w:sz w:val="22"/>
                <w:szCs w:val="22"/>
              </w:rPr>
              <w:t>Table 2</w:t>
            </w:r>
            <w:proofErr w:type="gramStart"/>
            <w:r w:rsidRPr="35A31DE5" w:rsidR="01A8E401">
              <w:rPr>
                <w:rFonts w:ascii="Times New Roman" w:hAnsi="Times New Roman" w:eastAsia="Times New Roman" w:cs="Times New Roman"/>
                <w:b w:val="1"/>
                <w:bCs w:val="1"/>
                <w:color w:val="000000" w:themeColor="text1" w:themeTint="FF" w:themeShade="FF"/>
                <w:sz w:val="22"/>
                <w:szCs w:val="22"/>
              </w:rPr>
              <w:t>:  Subgroups</w:t>
            </w:r>
            <w:proofErr w:type="gramEnd"/>
            <w:r w:rsidRPr="35A31DE5" w:rsidR="01A8E401">
              <w:rPr>
                <w:rFonts w:ascii="Times New Roman" w:hAnsi="Times New Roman" w:eastAsia="Times New Roman" w:cs="Times New Roman"/>
                <w:b w:val="1"/>
                <w:bCs w:val="1"/>
                <w:color w:val="000000" w:themeColor="text1" w:themeTint="FF" w:themeShade="FF"/>
                <w:sz w:val="22"/>
                <w:szCs w:val="22"/>
              </w:rPr>
              <w:t xml:space="preserve"> for Disparity Analysis </w:t>
            </w:r>
          </w:p>
        </w:tc>
      </w:tr>
      <w:tr w:rsidR="5383272C" w:rsidTr="35A31DE5" w14:paraId="318367DD" w14:textId="77777777">
        <w:trPr>
          <w:trHeight w:val="270"/>
        </w:trPr>
        <w:tc>
          <w:tcPr>
            <w:tcW w:w="1800" w:type="dxa"/>
            <w:tcBorders>
              <w:top w:val="single" w:color="auto" w:sz="6" w:space="0"/>
              <w:left w:val="single" w:color="auto" w:sz="6" w:space="0"/>
              <w:bottom w:val="single" w:color="auto" w:sz="6" w:space="0"/>
              <w:right w:val="single" w:color="auto" w:sz="6" w:space="0"/>
            </w:tcBorders>
            <w:tcMar/>
            <w:vAlign w:val="bottom"/>
          </w:tcPr>
          <w:p w:rsidR="5383272C" w:rsidP="35A31DE5" w:rsidRDefault="5383272C" w14:paraId="524E7D83" w14:textId="5ED7699A">
            <w:pPr>
              <w:jc w:val="right"/>
              <w:rPr>
                <w:rFonts w:ascii="Times New Roman" w:hAnsi="Times New Roman" w:eastAsia="Times New Roman" w:cs="Times New Roman"/>
                <w:color w:val="000000" w:themeColor="text1"/>
                <w:sz w:val="22"/>
                <w:szCs w:val="22"/>
              </w:rPr>
            </w:pPr>
            <w:r w:rsidRPr="35A31DE5" w:rsidR="01A8E401">
              <w:rPr>
                <w:rFonts w:ascii="Times New Roman" w:hAnsi="Times New Roman" w:eastAsia="Times New Roman" w:cs="Times New Roman"/>
                <w:color w:val="000000" w:themeColor="text1" w:themeTint="FF" w:themeShade="FF"/>
                <w:sz w:val="22"/>
                <w:szCs w:val="22"/>
              </w:rPr>
              <w:t xml:space="preserve"> </w:t>
            </w:r>
          </w:p>
        </w:tc>
        <w:tc>
          <w:tcPr>
            <w:tcW w:w="3285" w:type="dxa"/>
            <w:tcBorders>
              <w:top w:val="nil"/>
              <w:left w:val="single" w:color="auto" w:sz="6" w:space="0"/>
              <w:bottom w:val="single" w:color="auto" w:sz="6" w:space="0"/>
              <w:right w:val="single" w:color="auto" w:sz="6" w:space="0"/>
            </w:tcBorders>
            <w:tcMar/>
            <w:vAlign w:val="center"/>
          </w:tcPr>
          <w:p w:rsidR="5383272C" w:rsidP="35A31DE5" w:rsidRDefault="5383272C" w14:paraId="5C182135" w14:textId="0EE136F0">
            <w:pPr>
              <w:rPr>
                <w:rFonts w:ascii="Times New Roman" w:hAnsi="Times New Roman" w:eastAsia="Times New Roman" w:cs="Times New Roman"/>
                <w:color w:val="000000" w:themeColor="text1"/>
                <w:sz w:val="22"/>
                <w:szCs w:val="22"/>
              </w:rPr>
            </w:pPr>
            <w:r w:rsidRPr="35A31DE5" w:rsidR="01A8E401">
              <w:rPr>
                <w:rFonts w:ascii="Times New Roman" w:hAnsi="Times New Roman" w:eastAsia="Times New Roman" w:cs="Times New Roman"/>
                <w:b w:val="1"/>
                <w:bCs w:val="1"/>
                <w:color w:val="000000" w:themeColor="text1" w:themeTint="FF" w:themeShade="FF"/>
                <w:sz w:val="22"/>
                <w:szCs w:val="22"/>
              </w:rPr>
              <w:t>Comparison Groups</w:t>
            </w:r>
          </w:p>
        </w:tc>
        <w:tc>
          <w:tcPr>
            <w:tcW w:w="3735" w:type="dxa"/>
            <w:tcBorders>
              <w:top w:val="nil"/>
              <w:left w:val="single" w:color="auto" w:sz="6" w:space="0"/>
              <w:bottom w:val="single" w:color="auto" w:sz="6" w:space="0"/>
              <w:right w:val="single" w:color="auto" w:sz="6" w:space="0"/>
            </w:tcBorders>
            <w:tcMar/>
            <w:vAlign w:val="center"/>
          </w:tcPr>
          <w:p w:rsidR="5383272C" w:rsidP="35A31DE5" w:rsidRDefault="5383272C" w14:paraId="59FBE982" w14:textId="076273A7">
            <w:pPr>
              <w:rPr>
                <w:rFonts w:ascii="Times New Roman" w:hAnsi="Times New Roman" w:eastAsia="Times New Roman" w:cs="Times New Roman"/>
                <w:color w:val="000000" w:themeColor="text1"/>
                <w:sz w:val="22"/>
                <w:szCs w:val="22"/>
              </w:rPr>
            </w:pPr>
            <w:r w:rsidRPr="35A31DE5" w:rsidR="01A8E401">
              <w:rPr>
                <w:rFonts w:ascii="Times New Roman" w:hAnsi="Times New Roman" w:eastAsia="Times New Roman" w:cs="Times New Roman"/>
                <w:b w:val="1"/>
                <w:bCs w:val="1"/>
                <w:color w:val="000000" w:themeColor="text1" w:themeTint="FF" w:themeShade="FF"/>
                <w:sz w:val="22"/>
                <w:szCs w:val="22"/>
              </w:rPr>
              <w:t>Reference Groups</w:t>
            </w:r>
          </w:p>
        </w:tc>
      </w:tr>
      <w:tr w:rsidR="5383272C" w:rsidTr="35A31DE5" w14:paraId="2E4905CB" w14:textId="77777777">
        <w:trPr>
          <w:trHeight w:val="270"/>
        </w:trPr>
        <w:tc>
          <w:tcPr>
            <w:tcW w:w="1800" w:type="dxa"/>
            <w:tcBorders>
              <w:top w:val="single" w:color="auto" w:sz="6" w:space="0"/>
              <w:left w:val="single" w:color="auto" w:sz="6" w:space="0"/>
              <w:bottom w:val="single" w:color="auto" w:sz="6" w:space="0"/>
              <w:right w:val="single" w:color="auto" w:sz="6" w:space="0"/>
            </w:tcBorders>
            <w:tcMar/>
            <w:vAlign w:val="center"/>
          </w:tcPr>
          <w:p w:rsidR="5383272C" w:rsidP="35A31DE5" w:rsidRDefault="5383272C" w14:paraId="41D0A941" w14:textId="22D14C9F">
            <w:pPr>
              <w:rPr>
                <w:rFonts w:ascii="Times New Roman" w:hAnsi="Times New Roman" w:eastAsia="Times New Roman" w:cs="Times New Roman"/>
                <w:color w:val="000000" w:themeColor="text1"/>
                <w:sz w:val="22"/>
                <w:szCs w:val="22"/>
              </w:rPr>
            </w:pPr>
            <w:r w:rsidRPr="35A31DE5" w:rsidR="01A8E401">
              <w:rPr>
                <w:rFonts w:ascii="Times New Roman" w:hAnsi="Times New Roman" w:eastAsia="Times New Roman" w:cs="Times New Roman"/>
                <w:color w:val="000000" w:themeColor="text1" w:themeTint="FF" w:themeShade="FF"/>
                <w:sz w:val="22"/>
                <w:szCs w:val="22"/>
              </w:rPr>
              <w:t>Aggregate Analysis</w:t>
            </w:r>
          </w:p>
        </w:tc>
        <w:tc>
          <w:tcPr>
            <w:tcW w:w="3285" w:type="dxa"/>
            <w:tcBorders>
              <w:top w:val="single" w:color="auto" w:sz="6" w:space="0"/>
              <w:left w:val="single" w:color="auto" w:sz="6" w:space="0"/>
              <w:bottom w:val="single" w:color="auto" w:sz="6" w:space="0"/>
              <w:right w:val="single" w:color="auto" w:sz="6" w:space="0"/>
            </w:tcBorders>
            <w:tcMar/>
            <w:vAlign w:val="center"/>
          </w:tcPr>
          <w:p w:rsidR="5383272C" w:rsidP="35A31DE5" w:rsidRDefault="5383272C" w14:paraId="4CE801B3" w14:textId="0C7A89F3">
            <w:pPr>
              <w:rPr>
                <w:rFonts w:ascii="Times New Roman" w:hAnsi="Times New Roman" w:eastAsia="Times New Roman" w:cs="Times New Roman"/>
                <w:color w:val="000000" w:themeColor="text1"/>
                <w:sz w:val="22"/>
                <w:szCs w:val="22"/>
              </w:rPr>
            </w:pPr>
            <w:r w:rsidRPr="35A31DE5" w:rsidR="01A8E401">
              <w:rPr>
                <w:rFonts w:ascii="Times New Roman" w:hAnsi="Times New Roman" w:eastAsia="Times New Roman" w:cs="Times New Roman"/>
                <w:color w:val="000000" w:themeColor="text1" w:themeTint="FF" w:themeShade="FF"/>
                <w:sz w:val="22"/>
                <w:szCs w:val="22"/>
              </w:rPr>
              <w:t>Non-White</w:t>
            </w:r>
          </w:p>
          <w:p w:rsidR="5383272C" w:rsidP="35A31DE5" w:rsidRDefault="5383272C" w14:paraId="67B4A7AC" w14:textId="71EAC5DC">
            <w:pPr>
              <w:rPr>
                <w:rFonts w:ascii="Times New Roman" w:hAnsi="Times New Roman" w:eastAsia="Times New Roman" w:cs="Times New Roman"/>
                <w:color w:val="000000" w:themeColor="text1"/>
                <w:sz w:val="22"/>
                <w:szCs w:val="22"/>
              </w:rPr>
            </w:pPr>
          </w:p>
        </w:tc>
        <w:tc>
          <w:tcPr>
            <w:tcW w:w="3735" w:type="dxa"/>
            <w:tcBorders>
              <w:top w:val="single" w:color="auto" w:sz="6" w:space="0"/>
              <w:left w:val="single" w:color="auto" w:sz="6" w:space="0"/>
              <w:bottom w:val="single" w:color="auto" w:sz="6" w:space="0"/>
              <w:right w:val="single" w:color="auto" w:sz="6" w:space="0"/>
            </w:tcBorders>
            <w:tcMar/>
            <w:vAlign w:val="center"/>
          </w:tcPr>
          <w:p w:rsidR="5383272C" w:rsidP="35A31DE5" w:rsidRDefault="5383272C" w14:paraId="479374EA" w14:textId="3B17DC2B">
            <w:pPr>
              <w:rPr>
                <w:rFonts w:ascii="Times New Roman" w:hAnsi="Times New Roman" w:eastAsia="Times New Roman" w:cs="Times New Roman"/>
                <w:color w:val="000000" w:themeColor="text1"/>
                <w:sz w:val="22"/>
                <w:szCs w:val="22"/>
              </w:rPr>
            </w:pPr>
            <w:r w:rsidRPr="35A31DE5" w:rsidR="01A8E401">
              <w:rPr>
                <w:rFonts w:ascii="Times New Roman" w:hAnsi="Times New Roman" w:eastAsia="Times New Roman" w:cs="Times New Roman"/>
                <w:color w:val="000000" w:themeColor="text1" w:themeTint="FF" w:themeShade="FF"/>
                <w:sz w:val="22"/>
                <w:szCs w:val="22"/>
              </w:rPr>
              <w:t>Non-Hispanic White</w:t>
            </w:r>
          </w:p>
          <w:p w:rsidR="5383272C" w:rsidP="35A31DE5" w:rsidRDefault="5383272C" w14:paraId="279B6BFE" w14:textId="5ACAFF0C">
            <w:pPr>
              <w:rPr>
                <w:rFonts w:ascii="Times New Roman" w:hAnsi="Times New Roman" w:eastAsia="Times New Roman" w:cs="Times New Roman"/>
                <w:color w:val="000000" w:themeColor="text1"/>
                <w:sz w:val="22"/>
                <w:szCs w:val="22"/>
              </w:rPr>
            </w:pPr>
          </w:p>
        </w:tc>
      </w:tr>
      <w:tr w:rsidR="5383272C" w:rsidTr="35A31DE5" w14:paraId="26830773" w14:textId="77777777">
        <w:trPr>
          <w:trHeight w:val="270"/>
        </w:trPr>
        <w:tc>
          <w:tcPr>
            <w:tcW w:w="1800" w:type="dxa"/>
            <w:tcBorders>
              <w:top w:val="single" w:color="auto" w:sz="6" w:space="0"/>
              <w:left w:val="single" w:color="auto" w:sz="6" w:space="0"/>
              <w:bottom w:val="single" w:color="auto" w:sz="6" w:space="0"/>
              <w:right w:val="single" w:color="auto" w:sz="6" w:space="0"/>
            </w:tcBorders>
            <w:tcMar/>
            <w:vAlign w:val="center"/>
          </w:tcPr>
          <w:p w:rsidR="5383272C" w:rsidP="35A31DE5" w:rsidRDefault="5383272C" w14:paraId="1AD067A7" w14:textId="4E8EB889">
            <w:pPr>
              <w:rPr>
                <w:rFonts w:ascii="Times New Roman" w:hAnsi="Times New Roman" w:eastAsia="Times New Roman" w:cs="Times New Roman"/>
                <w:color w:val="000000" w:themeColor="text1"/>
                <w:sz w:val="22"/>
                <w:szCs w:val="22"/>
              </w:rPr>
            </w:pPr>
            <w:r w:rsidRPr="35A31DE5" w:rsidR="01A8E401">
              <w:rPr>
                <w:rFonts w:ascii="Times New Roman" w:hAnsi="Times New Roman" w:eastAsia="Times New Roman" w:cs="Times New Roman"/>
                <w:color w:val="000000" w:themeColor="text1" w:themeTint="FF" w:themeShade="FF"/>
                <w:sz w:val="22"/>
                <w:szCs w:val="22"/>
              </w:rPr>
              <w:t>Subgroup Analysis</w:t>
            </w:r>
          </w:p>
        </w:tc>
        <w:tc>
          <w:tcPr>
            <w:tcW w:w="3285" w:type="dxa"/>
            <w:tcBorders>
              <w:top w:val="single" w:color="auto" w:sz="6" w:space="0"/>
              <w:left w:val="single" w:color="auto" w:sz="6" w:space="0"/>
              <w:bottom w:val="single" w:color="auto" w:sz="6" w:space="0"/>
              <w:right w:val="single" w:color="auto" w:sz="6" w:space="0"/>
            </w:tcBorders>
            <w:tcMar/>
            <w:vAlign w:val="center"/>
          </w:tcPr>
          <w:p w:rsidR="5383272C" w:rsidP="35A31DE5" w:rsidRDefault="5383272C" w14:paraId="6E8F8600" w14:textId="5930760C">
            <w:pPr>
              <w:rPr>
                <w:rFonts w:ascii="Times New Roman" w:hAnsi="Times New Roman" w:eastAsia="Times New Roman" w:cs="Times New Roman"/>
                <w:color w:val="000000" w:themeColor="text1"/>
                <w:sz w:val="22"/>
                <w:szCs w:val="22"/>
              </w:rPr>
            </w:pPr>
            <w:r w:rsidRPr="35A31DE5" w:rsidR="01A8E401">
              <w:rPr>
                <w:rFonts w:ascii="Times New Roman" w:hAnsi="Times New Roman" w:eastAsia="Times New Roman" w:cs="Times New Roman"/>
                <w:color w:val="000000" w:themeColor="text1" w:themeTint="FF" w:themeShade="FF"/>
                <w:sz w:val="22"/>
                <w:szCs w:val="22"/>
              </w:rPr>
              <w:t>Non-Hispanic Black</w:t>
            </w:r>
          </w:p>
          <w:p w:rsidR="5383272C" w:rsidP="35A31DE5" w:rsidRDefault="5383272C" w14:paraId="5BB88BC3" w14:textId="120F78FC">
            <w:pPr>
              <w:rPr>
                <w:rFonts w:ascii="Times New Roman" w:hAnsi="Times New Roman" w:eastAsia="Times New Roman" w:cs="Times New Roman"/>
                <w:color w:val="000000" w:themeColor="text1"/>
                <w:sz w:val="22"/>
                <w:szCs w:val="22"/>
              </w:rPr>
            </w:pPr>
            <w:r w:rsidRPr="35A31DE5" w:rsidR="01A8E401">
              <w:rPr>
                <w:rFonts w:ascii="Times New Roman" w:hAnsi="Times New Roman" w:eastAsia="Times New Roman" w:cs="Times New Roman"/>
                <w:color w:val="000000" w:themeColor="text1" w:themeTint="FF" w:themeShade="FF"/>
                <w:sz w:val="22"/>
                <w:szCs w:val="22"/>
              </w:rPr>
              <w:t>Hispanic/Latinx</w:t>
            </w:r>
          </w:p>
          <w:p w:rsidR="5383272C" w:rsidP="35A31DE5" w:rsidRDefault="5383272C" w14:paraId="1437653F" w14:textId="65031E6A">
            <w:pPr>
              <w:rPr>
                <w:rFonts w:ascii="Times New Roman" w:hAnsi="Times New Roman" w:eastAsia="Times New Roman" w:cs="Times New Roman"/>
                <w:color w:val="000000" w:themeColor="text1"/>
                <w:sz w:val="22"/>
                <w:szCs w:val="22"/>
              </w:rPr>
            </w:pPr>
            <w:r w:rsidRPr="35A31DE5" w:rsidR="01A8E401">
              <w:rPr>
                <w:rFonts w:ascii="Times New Roman" w:hAnsi="Times New Roman" w:eastAsia="Times New Roman" w:cs="Times New Roman"/>
                <w:color w:val="000000" w:themeColor="text1" w:themeTint="FF" w:themeShade="FF"/>
                <w:sz w:val="22"/>
                <w:szCs w:val="22"/>
              </w:rPr>
              <w:t>Other</w:t>
            </w:r>
          </w:p>
        </w:tc>
        <w:tc>
          <w:tcPr>
            <w:tcW w:w="3735" w:type="dxa"/>
            <w:tcBorders>
              <w:top w:val="single" w:color="auto" w:sz="6" w:space="0"/>
              <w:left w:val="single" w:color="auto" w:sz="6" w:space="0"/>
              <w:bottom w:val="single" w:color="auto" w:sz="6" w:space="0"/>
              <w:right w:val="single" w:color="auto" w:sz="6" w:space="0"/>
            </w:tcBorders>
            <w:tcMar/>
            <w:vAlign w:val="center"/>
          </w:tcPr>
          <w:p w:rsidR="5383272C" w:rsidP="35A31DE5" w:rsidRDefault="5383272C" w14:paraId="6243E981" w14:textId="6FE801A4">
            <w:pPr>
              <w:rPr>
                <w:rFonts w:ascii="Times New Roman" w:hAnsi="Times New Roman" w:eastAsia="Times New Roman" w:cs="Times New Roman"/>
                <w:color w:val="000000" w:themeColor="text1"/>
                <w:sz w:val="22"/>
                <w:szCs w:val="22"/>
              </w:rPr>
            </w:pPr>
            <w:r w:rsidRPr="35A31DE5" w:rsidR="01A8E401">
              <w:rPr>
                <w:rFonts w:ascii="Times New Roman" w:hAnsi="Times New Roman" w:eastAsia="Times New Roman" w:cs="Times New Roman"/>
                <w:color w:val="000000" w:themeColor="text1" w:themeTint="FF" w:themeShade="FF"/>
                <w:sz w:val="22"/>
                <w:szCs w:val="22"/>
              </w:rPr>
              <w:t>Non-Hispanic White</w:t>
            </w:r>
          </w:p>
        </w:tc>
      </w:tr>
    </w:tbl>
    <w:p w:rsidR="00410B0B" w:rsidP="5383272C" w:rsidRDefault="5383272C" w14:paraId="3BBB736D" w14:textId="7330A124">
      <w:pPr>
        <w:spacing w:after="0"/>
      </w:pPr>
      <w:r w:rsidRPr="5383272C">
        <w:rPr>
          <w:rFonts w:ascii="Times New Roman" w:hAnsi="Times New Roman" w:eastAsia="Times New Roman" w:cs="Times New Roman"/>
          <w:color w:val="000000" w:themeColor="text1"/>
          <w:sz w:val="24"/>
          <w:szCs w:val="24"/>
        </w:rPr>
        <w:t xml:space="preserve">  </w:t>
      </w:r>
    </w:p>
    <w:p w:rsidR="00410B0B" w:rsidP="5383272C" w:rsidRDefault="5383272C" w14:paraId="29F8ABB6" w14:textId="5FBE3B67">
      <w:pPr>
        <w:spacing w:after="0"/>
        <w:rPr>
          <w:rFonts w:ascii="Times New Roman" w:hAnsi="Times New Roman" w:eastAsia="Times New Roman" w:cs="Times New Roman"/>
          <w:b/>
          <w:bCs/>
          <w:sz w:val="24"/>
          <w:szCs w:val="24"/>
        </w:rPr>
      </w:pPr>
      <w:r w:rsidRPr="5383272C">
        <w:rPr>
          <w:rFonts w:ascii="Times New Roman" w:hAnsi="Times New Roman" w:eastAsia="Times New Roman" w:cs="Times New Roman"/>
          <w:color w:val="000000" w:themeColor="text1"/>
          <w:sz w:val="24"/>
          <w:szCs w:val="24"/>
        </w:rPr>
        <w:t xml:space="preserve"> </w:t>
      </w:r>
    </w:p>
    <w:p w:rsidR="00410B0B" w:rsidP="5383272C" w:rsidRDefault="5383272C" w14:paraId="6D9B642B" w14:textId="1D2EC7D4">
      <w:pPr>
        <w:pStyle w:val="Heading1"/>
        <w:spacing w:before="0"/>
        <w:rPr>
          <w:rFonts w:ascii="Times New Roman" w:hAnsi="Times New Roman" w:eastAsia="Times New Roman" w:cs="Times New Roman"/>
          <w:b/>
          <w:bCs/>
          <w:color w:val="auto"/>
          <w:sz w:val="28"/>
          <w:szCs w:val="28"/>
        </w:rPr>
      </w:pPr>
      <w:r w:rsidRPr="5383272C">
        <w:rPr>
          <w:rFonts w:ascii="Times New Roman" w:hAnsi="Times New Roman" w:eastAsia="Times New Roman" w:cs="Times New Roman"/>
          <w:b/>
          <w:bCs/>
          <w:color w:val="auto"/>
          <w:sz w:val="28"/>
          <w:szCs w:val="28"/>
        </w:rPr>
        <w:t>7.0</w:t>
      </w:r>
      <w:r w:rsidRPr="5383272C">
        <w:rPr>
          <w:rFonts w:ascii="Times New Roman" w:hAnsi="Times New Roman" w:eastAsia="Times New Roman" w:cs="Times New Roman"/>
          <w:b/>
          <w:bCs/>
          <w:color w:val="auto"/>
          <w:sz w:val="14"/>
          <w:szCs w:val="14"/>
        </w:rPr>
        <w:t xml:space="preserve">         </w:t>
      </w:r>
      <w:r w:rsidRPr="5383272C">
        <w:rPr>
          <w:rFonts w:ascii="Times New Roman" w:hAnsi="Times New Roman" w:eastAsia="Times New Roman" w:cs="Times New Roman"/>
          <w:b/>
          <w:bCs/>
          <w:color w:val="auto"/>
          <w:sz w:val="28"/>
          <w:szCs w:val="28"/>
        </w:rPr>
        <w:t>Data and Specimen Banking*</w:t>
      </w:r>
    </w:p>
    <w:p w:rsidR="00410B0B" w:rsidP="35A31DE5" w:rsidRDefault="5383272C" w14:paraId="235C19E7" w14:textId="1E77D557">
      <w:pPr>
        <w:spacing w:after="0"/>
        <w:rPr>
          <w:rFonts w:ascii="Times New Roman" w:hAnsi="Times New Roman" w:eastAsia="Times New Roman" w:cs="Times New Roman"/>
          <w:i w:val="1"/>
          <w:iCs w:val="1"/>
          <w:sz w:val="24"/>
          <w:szCs w:val="24"/>
        </w:rPr>
      </w:pPr>
      <w:r w:rsidRPr="35A31DE5" w:rsidR="01A8E401">
        <w:rPr>
          <w:rFonts w:ascii="Times New Roman" w:hAnsi="Times New Roman" w:eastAsia="Times New Roman" w:cs="Times New Roman"/>
          <w:i w:val="1"/>
          <w:iCs w:val="1"/>
          <w:sz w:val="24"/>
          <w:szCs w:val="24"/>
        </w:rPr>
        <w:t>NA</w:t>
      </w:r>
    </w:p>
    <w:p w:rsidR="6BF41D3A" w:rsidP="6BF41D3A" w:rsidRDefault="6BF41D3A" w14:paraId="30EEE8D3" w14:textId="511D8A79">
      <w:pPr>
        <w:spacing w:after="0"/>
        <w:rPr>
          <w:rFonts w:ascii="Times New Roman" w:hAnsi="Times New Roman" w:eastAsia="Times New Roman" w:cs="Times New Roman"/>
          <w:i/>
          <w:iCs/>
          <w:sz w:val="24"/>
          <w:szCs w:val="24"/>
        </w:rPr>
      </w:pPr>
    </w:p>
    <w:p w:rsidR="00410B0B" w:rsidP="5383272C" w:rsidRDefault="5383272C" w14:paraId="3BDE552B" w14:textId="1B80D4D7">
      <w:pPr>
        <w:pStyle w:val="Heading1"/>
        <w:spacing w:before="0"/>
        <w:rPr>
          <w:rFonts w:ascii="Times New Roman" w:hAnsi="Times New Roman" w:eastAsia="Times New Roman" w:cs="Times New Roman"/>
          <w:b/>
          <w:bCs/>
          <w:color w:val="auto"/>
          <w:sz w:val="28"/>
          <w:szCs w:val="28"/>
        </w:rPr>
      </w:pPr>
      <w:r w:rsidRPr="5383272C">
        <w:rPr>
          <w:rFonts w:ascii="Times New Roman" w:hAnsi="Times New Roman" w:eastAsia="Times New Roman" w:cs="Times New Roman"/>
          <w:b/>
          <w:bCs/>
          <w:color w:val="auto"/>
          <w:sz w:val="28"/>
          <w:szCs w:val="28"/>
        </w:rPr>
        <w:t>8.0</w:t>
      </w:r>
      <w:r w:rsidRPr="5383272C">
        <w:rPr>
          <w:rFonts w:ascii="Times New Roman" w:hAnsi="Times New Roman" w:eastAsia="Times New Roman" w:cs="Times New Roman"/>
          <w:b/>
          <w:bCs/>
          <w:color w:val="auto"/>
          <w:sz w:val="14"/>
          <w:szCs w:val="14"/>
        </w:rPr>
        <w:t xml:space="preserve">         </w:t>
      </w:r>
      <w:r w:rsidRPr="5383272C">
        <w:rPr>
          <w:rFonts w:ascii="Times New Roman" w:hAnsi="Times New Roman" w:eastAsia="Times New Roman" w:cs="Times New Roman"/>
          <w:b/>
          <w:bCs/>
          <w:color w:val="auto"/>
          <w:sz w:val="28"/>
          <w:szCs w:val="28"/>
        </w:rPr>
        <w:t>Sharing of Results with Subjects*</w:t>
      </w:r>
    </w:p>
    <w:p w:rsidR="00410B0B" w:rsidP="35A31DE5" w:rsidRDefault="5383272C" w14:paraId="3E60F1BD" w14:textId="5F5F400E">
      <w:pPr>
        <w:spacing w:after="0"/>
        <w:rPr>
          <w:rFonts w:ascii="Times New Roman" w:hAnsi="Times New Roman" w:eastAsia="Times New Roman" w:cs="Times New Roman"/>
          <w:sz w:val="24"/>
          <w:szCs w:val="24"/>
        </w:rPr>
      </w:pPr>
      <w:r w:rsidRPr="35A31DE5" w:rsidR="01A8E401">
        <w:rPr>
          <w:rFonts w:ascii="Times New Roman" w:hAnsi="Times New Roman" w:eastAsia="Times New Roman" w:cs="Times New Roman"/>
          <w:i w:val="1"/>
          <w:iCs w:val="1"/>
          <w:sz w:val="24"/>
          <w:szCs w:val="24"/>
        </w:rPr>
        <w:t>NA</w:t>
      </w:r>
      <w:r w:rsidRPr="35A31DE5" w:rsidR="01A8E401">
        <w:rPr>
          <w:rFonts w:ascii="Times New Roman" w:hAnsi="Times New Roman" w:eastAsia="Times New Roman" w:cs="Times New Roman"/>
          <w:sz w:val="24"/>
          <w:szCs w:val="24"/>
        </w:rPr>
        <w:t>, all data in the study’s analytic dataset will be de-identified.</w:t>
      </w:r>
    </w:p>
    <w:p w:rsidR="00335132" w:rsidP="00335132" w:rsidRDefault="00335132" w14:paraId="7254AA5A" w14:textId="3F075D22">
      <w:pPr>
        <w:spacing w:after="0"/>
        <w:ind w:left="720"/>
        <w:rPr>
          <w:rFonts w:ascii="Times New Roman" w:hAnsi="Times New Roman" w:eastAsia="Times New Roman" w:cs="Times New Roman"/>
        </w:rPr>
      </w:pPr>
    </w:p>
    <w:p w:rsidR="00410B0B" w:rsidP="5383272C" w:rsidRDefault="5383272C" w14:paraId="4B8465CC" w14:textId="551F2A03">
      <w:pPr>
        <w:pStyle w:val="Heading1"/>
        <w:spacing w:before="0"/>
        <w:rPr>
          <w:rFonts w:ascii="Times New Roman" w:hAnsi="Times New Roman" w:eastAsia="Times New Roman" w:cs="Times New Roman"/>
          <w:b/>
          <w:bCs/>
          <w:color w:val="auto"/>
          <w:sz w:val="28"/>
          <w:szCs w:val="28"/>
        </w:rPr>
      </w:pPr>
      <w:r w:rsidRPr="1F9C4660">
        <w:rPr>
          <w:rFonts w:ascii="Times New Roman" w:hAnsi="Times New Roman" w:eastAsia="Times New Roman" w:cs="Times New Roman"/>
          <w:b/>
          <w:bCs/>
          <w:color w:val="auto"/>
          <w:sz w:val="28"/>
          <w:szCs w:val="28"/>
        </w:rPr>
        <w:t>9.0</w:t>
      </w:r>
      <w:r w:rsidRPr="1F9C4660">
        <w:rPr>
          <w:rFonts w:ascii="Times New Roman" w:hAnsi="Times New Roman" w:eastAsia="Times New Roman" w:cs="Times New Roman"/>
          <w:b/>
          <w:bCs/>
          <w:color w:val="auto"/>
          <w:sz w:val="14"/>
          <w:szCs w:val="14"/>
        </w:rPr>
        <w:t xml:space="preserve">         </w:t>
      </w:r>
      <w:r w:rsidRPr="1F9C4660">
        <w:rPr>
          <w:rFonts w:ascii="Times New Roman" w:hAnsi="Times New Roman" w:eastAsia="Times New Roman" w:cs="Times New Roman"/>
          <w:b/>
          <w:bCs/>
          <w:color w:val="auto"/>
          <w:sz w:val="28"/>
          <w:szCs w:val="28"/>
        </w:rPr>
        <w:t>Study Timelines*</w:t>
      </w:r>
    </w:p>
    <w:p w:rsidR="00410B0B" w:rsidP="35A31DE5" w:rsidRDefault="5383272C" w14:paraId="242F9276" w14:textId="1BF5D977">
      <w:pPr>
        <w:spacing w:after="0"/>
        <w:rPr>
          <w:rFonts w:ascii="Times New Roman" w:hAnsi="Times New Roman" w:eastAsia="Times New Roman" w:cs="Times New Roman"/>
          <w:sz w:val="24"/>
          <w:szCs w:val="24"/>
        </w:rPr>
      </w:pPr>
      <w:proofErr w:type="gramStart"/>
      <w:r w:rsidRPr="35A31DE5" w:rsidR="01A8E401">
        <w:rPr>
          <w:rFonts w:ascii="Times New Roman" w:hAnsi="Times New Roman" w:eastAsia="Times New Roman" w:cs="Times New Roman"/>
          <w:sz w:val="24"/>
          <w:szCs w:val="24"/>
        </w:rPr>
        <w:t>3 month</w:t>
      </w:r>
      <w:proofErr w:type="gramEnd"/>
      <w:r w:rsidRPr="35A31DE5" w:rsidR="01A8E401">
        <w:rPr>
          <w:rFonts w:ascii="Times New Roman" w:hAnsi="Times New Roman" w:eastAsia="Times New Roman" w:cs="Times New Roman"/>
          <w:sz w:val="24"/>
          <w:szCs w:val="24"/>
        </w:rPr>
        <w:t xml:space="preserve"> project period, with 1 month for dataset construction, 1 month for statistical analysis, and 1 month for iterative updates to the analysis and composition of the final study reports (</w:t>
      </w:r>
      <w:proofErr w:type="gramStart"/>
      <w:r w:rsidRPr="35A31DE5" w:rsidR="01A8E401">
        <w:rPr>
          <w:rFonts w:ascii="Times New Roman" w:hAnsi="Times New Roman" w:eastAsia="Times New Roman" w:cs="Times New Roman"/>
          <w:sz w:val="24"/>
          <w:szCs w:val="24"/>
        </w:rPr>
        <w:t>e.g.</w:t>
      </w:r>
      <w:proofErr w:type="gramEnd"/>
      <w:r w:rsidRPr="35A31DE5" w:rsidR="01A8E401">
        <w:rPr>
          <w:rFonts w:ascii="Times New Roman" w:hAnsi="Times New Roman" w:eastAsia="Times New Roman" w:cs="Times New Roman"/>
          <w:sz w:val="24"/>
          <w:szCs w:val="24"/>
        </w:rPr>
        <w:t xml:space="preserve"> non-technical research briefs, abstract, and manuscript)</w:t>
      </w:r>
    </w:p>
    <w:p w:rsidR="00410B0B" w:rsidP="5383272C" w:rsidRDefault="5383272C" w14:paraId="6DD05C05" w14:textId="6484FB23">
      <w:pPr>
        <w:spacing w:after="0"/>
      </w:pPr>
      <w:r w:rsidRPr="5383272C">
        <w:rPr>
          <w:rFonts w:ascii="Times New Roman" w:hAnsi="Times New Roman" w:eastAsia="Times New Roman" w:cs="Times New Roman"/>
          <w:color w:val="000000" w:themeColor="text1"/>
          <w:sz w:val="24"/>
          <w:szCs w:val="24"/>
        </w:rPr>
        <w:t xml:space="preserve"> </w:t>
      </w:r>
    </w:p>
    <w:p w:rsidR="00410B0B" w:rsidP="5383272C" w:rsidRDefault="5383272C" w14:paraId="4FEA3CD7" w14:textId="3CD64AC2">
      <w:pPr>
        <w:pStyle w:val="Heading1"/>
        <w:spacing w:before="0"/>
        <w:rPr>
          <w:rFonts w:ascii="Times New Roman" w:hAnsi="Times New Roman" w:eastAsia="Times New Roman" w:cs="Times New Roman"/>
          <w:b/>
          <w:bCs/>
          <w:color w:val="auto"/>
          <w:sz w:val="28"/>
          <w:szCs w:val="28"/>
        </w:rPr>
      </w:pPr>
      <w:r w:rsidRPr="5383272C">
        <w:rPr>
          <w:rFonts w:ascii="Times New Roman" w:hAnsi="Times New Roman" w:eastAsia="Times New Roman" w:cs="Times New Roman"/>
          <w:b/>
          <w:bCs/>
          <w:color w:val="auto"/>
          <w:sz w:val="28"/>
          <w:szCs w:val="28"/>
        </w:rPr>
        <w:t>10.0</w:t>
      </w:r>
      <w:r w:rsidRPr="5383272C">
        <w:rPr>
          <w:rFonts w:ascii="Times New Roman" w:hAnsi="Times New Roman" w:eastAsia="Times New Roman" w:cs="Times New Roman"/>
          <w:b/>
          <w:bCs/>
          <w:color w:val="auto"/>
          <w:sz w:val="14"/>
          <w:szCs w:val="14"/>
        </w:rPr>
        <w:t xml:space="preserve">      </w:t>
      </w:r>
      <w:r w:rsidRPr="5383272C">
        <w:rPr>
          <w:rFonts w:ascii="Times New Roman" w:hAnsi="Times New Roman" w:eastAsia="Times New Roman" w:cs="Times New Roman"/>
          <w:b/>
          <w:bCs/>
          <w:color w:val="auto"/>
          <w:sz w:val="28"/>
          <w:szCs w:val="28"/>
        </w:rPr>
        <w:t>Inclusion and Exclusion Criteria*</w:t>
      </w:r>
    </w:p>
    <w:tbl>
      <w:tblPr>
        <w:tblStyle w:val="TableGrid"/>
        <w:tblW w:w="0" w:type="auto"/>
        <w:tblLayout w:type="fixed"/>
        <w:tblLook w:val="06A0" w:firstRow="1" w:lastRow="0" w:firstColumn="1" w:lastColumn="0" w:noHBand="1" w:noVBand="1"/>
      </w:tblPr>
      <w:tblGrid>
        <w:gridCol w:w="9360"/>
      </w:tblGrid>
      <w:tr w:rsidR="5383272C" w:rsidTr="35A31DE5" w14:paraId="1956003E" w14:textId="77777777">
        <w:tc>
          <w:tcPr>
            <w:tcW w:w="9360" w:type="dxa"/>
            <w:shd w:val="clear" w:color="auto" w:fill="D9D9D9" w:themeFill="background1" w:themeFillShade="D9"/>
            <w:tcMar/>
          </w:tcPr>
          <w:p w:rsidR="5383272C" w:rsidP="35A31DE5" w:rsidRDefault="5383272C" w14:paraId="62FD3529" w14:textId="0F4946BF">
            <w:pPr>
              <w:spacing w:line="259" w:lineRule="auto"/>
              <w:rPr>
                <w:rFonts w:ascii="Times New Roman" w:hAnsi="Times New Roman" w:eastAsia="Times New Roman" w:cs="Times New Roman"/>
                <w:color w:val="000000" w:themeColor="text1"/>
                <w:sz w:val="22"/>
                <w:szCs w:val="22"/>
              </w:rPr>
            </w:pPr>
            <w:r w:rsidRPr="35A31DE5" w:rsidR="01A8E401">
              <w:rPr>
                <w:rFonts w:ascii="Times New Roman" w:hAnsi="Times New Roman" w:eastAsia="Times New Roman" w:cs="Times New Roman"/>
                <w:color w:val="000000" w:themeColor="text1" w:themeTint="FF" w:themeShade="FF"/>
                <w:sz w:val="22"/>
                <w:szCs w:val="22"/>
              </w:rPr>
              <w:t>Table 3. Inclusion and Exclusion Criteria</w:t>
            </w:r>
          </w:p>
        </w:tc>
      </w:tr>
      <w:tr w:rsidR="5383272C" w:rsidTr="35A31DE5" w14:paraId="0FC3169C" w14:textId="77777777">
        <w:tc>
          <w:tcPr>
            <w:tcW w:w="9360" w:type="dxa"/>
            <w:shd w:val="clear" w:color="auto" w:fill="F2F2F2" w:themeFill="background1" w:themeFillShade="F2"/>
            <w:tcMar/>
          </w:tcPr>
          <w:p w:rsidR="5383272C" w:rsidP="35A31DE5" w:rsidRDefault="5383272C" w14:paraId="1E6CAEF3" w14:textId="4932EF5F">
            <w:pPr>
              <w:spacing w:line="259" w:lineRule="auto"/>
              <w:rPr>
                <w:rFonts w:ascii="Times New Roman" w:hAnsi="Times New Roman" w:eastAsia="Times New Roman" w:cs="Times New Roman"/>
                <w:color w:val="000000" w:themeColor="text1"/>
                <w:sz w:val="22"/>
                <w:szCs w:val="22"/>
              </w:rPr>
            </w:pPr>
            <w:r w:rsidRPr="35A31DE5" w:rsidR="01A8E401">
              <w:rPr>
                <w:rFonts w:ascii="Times New Roman" w:hAnsi="Times New Roman" w:eastAsia="Times New Roman" w:cs="Times New Roman"/>
                <w:color w:val="000000" w:themeColor="text1" w:themeTint="FF" w:themeShade="FF"/>
                <w:sz w:val="22"/>
                <w:szCs w:val="22"/>
              </w:rPr>
              <w:t>Inclusion Criteria:</w:t>
            </w:r>
          </w:p>
          <w:p w:rsidR="5383272C" w:rsidP="35A31DE5" w:rsidRDefault="5383272C" w14:paraId="2436B350" w14:textId="65B71A3D">
            <w:pPr>
              <w:spacing w:line="259" w:lineRule="auto"/>
              <w:rPr>
                <w:rFonts w:ascii="Times New Roman" w:hAnsi="Times New Roman" w:eastAsia="Times New Roman" w:cs="Times New Roman"/>
                <w:color w:val="000000" w:themeColor="text1"/>
                <w:sz w:val="22"/>
                <w:szCs w:val="22"/>
              </w:rPr>
            </w:pPr>
            <w:r w:rsidRPr="35A31DE5" w:rsidR="01A8E401">
              <w:rPr>
                <w:rFonts w:ascii="Times New Roman" w:hAnsi="Times New Roman" w:eastAsia="Times New Roman" w:cs="Times New Roman"/>
                <w:color w:val="000000" w:themeColor="text1" w:themeTint="FF" w:themeShade="FF"/>
                <w:sz w:val="22"/>
                <w:szCs w:val="22"/>
              </w:rPr>
              <w:t xml:space="preserve">The inclusion criteria for all iterations of data analysis will follow the same structure </w:t>
            </w:r>
            <w:proofErr w:type="gramStart"/>
            <w:r w:rsidRPr="35A31DE5" w:rsidR="01A8E401">
              <w:rPr>
                <w:rFonts w:ascii="Times New Roman" w:hAnsi="Times New Roman" w:eastAsia="Times New Roman" w:cs="Times New Roman"/>
                <w:color w:val="000000" w:themeColor="text1" w:themeTint="FF" w:themeShade="FF"/>
                <w:sz w:val="22"/>
                <w:szCs w:val="22"/>
              </w:rPr>
              <w:t>with</w:t>
            </w:r>
            <w:proofErr w:type="gramEnd"/>
            <w:r w:rsidRPr="35A31DE5" w:rsidR="01A8E401">
              <w:rPr>
                <w:rFonts w:ascii="Times New Roman" w:hAnsi="Times New Roman" w:eastAsia="Times New Roman" w:cs="Times New Roman"/>
                <w:color w:val="000000" w:themeColor="text1" w:themeTint="FF" w:themeShade="FF"/>
                <w:sz w:val="22"/>
                <w:szCs w:val="22"/>
              </w:rPr>
              <w:t xml:space="preserve"> the study population consisting of all available patients who meet the following criteria</w:t>
            </w:r>
          </w:p>
        </w:tc>
      </w:tr>
      <w:tr w:rsidR="5383272C" w:rsidTr="35A31DE5" w14:paraId="3839055D" w14:textId="77777777">
        <w:tc>
          <w:tcPr>
            <w:tcW w:w="9360" w:type="dxa"/>
            <w:tcMar/>
          </w:tcPr>
          <w:p w:rsidR="5383272C" w:rsidP="35A31DE5" w:rsidRDefault="5383272C" w14:paraId="1CE6B6A4" w14:textId="4D06E62F">
            <w:pPr>
              <w:pStyle w:val="ListParagraph"/>
              <w:numPr>
                <w:ilvl w:val="0"/>
                <w:numId w:val="5"/>
              </w:numPr>
              <w:spacing w:line="259" w:lineRule="auto"/>
              <w:rPr>
                <w:rFonts w:ascii="Times New Roman" w:hAnsi="Times New Roman" w:eastAsia="Times New Roman" w:cs="Times New Roman"/>
                <w:color w:val="000000" w:themeColor="text1"/>
                <w:sz w:val="22"/>
                <w:szCs w:val="22"/>
              </w:rPr>
            </w:pPr>
            <w:r w:rsidRPr="35A31DE5" w:rsidR="01A8E401">
              <w:rPr>
                <w:rFonts w:ascii="Times New Roman" w:hAnsi="Times New Roman" w:eastAsia="Times New Roman" w:cs="Times New Roman"/>
                <w:color w:val="000000" w:themeColor="text1" w:themeTint="FF" w:themeShade="FF"/>
                <w:sz w:val="22"/>
                <w:szCs w:val="22"/>
              </w:rPr>
              <w:t xml:space="preserve">Individuals with a newly diagnosed eGFR between 15-59 </w:t>
            </w:r>
            <w:r w:rsidRPr="35A31DE5" w:rsidR="01A8E401">
              <w:rPr>
                <w:rFonts w:ascii="Times New Roman" w:hAnsi="Times New Roman" w:eastAsia="Times New Roman" w:cs="Times New Roman"/>
                <w:sz w:val="22"/>
                <w:szCs w:val="22"/>
              </w:rPr>
              <w:t>ml/min/173m</w:t>
            </w:r>
            <w:r w:rsidRPr="35A31DE5" w:rsidR="01A8E401">
              <w:rPr>
                <w:rFonts w:ascii="Times New Roman" w:hAnsi="Times New Roman" w:eastAsia="Times New Roman" w:cs="Times New Roman"/>
                <w:sz w:val="22"/>
                <w:szCs w:val="22"/>
                <w:vertAlign w:val="superscript"/>
              </w:rPr>
              <w:t>2</w:t>
            </w:r>
            <w:r w:rsidRPr="35A31DE5" w:rsidR="01A8E401">
              <w:rPr>
                <w:rFonts w:ascii="Times New Roman" w:hAnsi="Times New Roman" w:eastAsia="Times New Roman" w:cs="Times New Roman"/>
                <w:color w:val="000000" w:themeColor="text1" w:themeTint="FF" w:themeShade="FF"/>
                <w:sz w:val="22"/>
                <w:szCs w:val="22"/>
              </w:rPr>
              <w:t xml:space="preserve">, with two consecutive outpatient eGFR values between 15-59 </w:t>
            </w:r>
            <w:r w:rsidRPr="35A31DE5" w:rsidR="01A8E401">
              <w:rPr>
                <w:rFonts w:ascii="Times New Roman" w:hAnsi="Times New Roman" w:eastAsia="Times New Roman" w:cs="Times New Roman"/>
                <w:sz w:val="22"/>
                <w:szCs w:val="22"/>
              </w:rPr>
              <w:t>ml/min/173m</w:t>
            </w:r>
            <w:r w:rsidRPr="35A31DE5" w:rsidR="01A8E401">
              <w:rPr>
                <w:rFonts w:ascii="Times New Roman" w:hAnsi="Times New Roman" w:eastAsia="Times New Roman" w:cs="Times New Roman"/>
                <w:sz w:val="22"/>
                <w:szCs w:val="22"/>
                <w:vertAlign w:val="superscript"/>
              </w:rPr>
              <w:t>2</w:t>
            </w:r>
            <w:r w:rsidRPr="35A31DE5" w:rsidR="01A8E401">
              <w:rPr>
                <w:rFonts w:ascii="Times New Roman" w:hAnsi="Times New Roman" w:eastAsia="Times New Roman" w:cs="Times New Roman"/>
                <w:sz w:val="22"/>
                <w:szCs w:val="22"/>
              </w:rPr>
              <w:t xml:space="preserve"> </w:t>
            </w:r>
            <w:r w:rsidRPr="35A31DE5" w:rsidR="01A8E401">
              <w:rPr>
                <w:rFonts w:ascii="Times New Roman" w:hAnsi="Times New Roman" w:eastAsia="Times New Roman" w:cs="Times New Roman"/>
                <w:color w:val="000000" w:themeColor="text1" w:themeTint="FF" w:themeShade="FF"/>
                <w:sz w:val="22"/>
                <w:szCs w:val="22"/>
              </w:rPr>
              <w:t>at least 90 days apart.</w:t>
            </w:r>
          </w:p>
        </w:tc>
      </w:tr>
      <w:tr w:rsidR="5383272C" w:rsidTr="35A31DE5" w14:paraId="3909F61E" w14:textId="77777777">
        <w:tc>
          <w:tcPr>
            <w:tcW w:w="9360" w:type="dxa"/>
            <w:tcMar/>
          </w:tcPr>
          <w:p w:rsidR="5383272C" w:rsidP="35A31DE5" w:rsidRDefault="5383272C" w14:paraId="31B09006" w14:textId="296FBF5F">
            <w:pPr>
              <w:pStyle w:val="ListParagraph"/>
              <w:numPr>
                <w:ilvl w:val="0"/>
                <w:numId w:val="5"/>
              </w:numPr>
              <w:spacing w:line="259" w:lineRule="auto"/>
              <w:rPr>
                <w:rFonts w:ascii="Times New Roman" w:hAnsi="Times New Roman" w:eastAsia="Times New Roman" w:cs="Times New Roman"/>
                <w:color w:val="000000" w:themeColor="text1"/>
                <w:sz w:val="22"/>
                <w:szCs w:val="22"/>
              </w:rPr>
            </w:pPr>
            <w:r w:rsidRPr="35A31DE5" w:rsidR="01A8E401">
              <w:rPr>
                <w:rFonts w:ascii="Times New Roman" w:hAnsi="Times New Roman" w:eastAsia="Times New Roman" w:cs="Times New Roman"/>
                <w:color w:val="000000" w:themeColor="text1" w:themeTint="FF" w:themeShade="FF"/>
                <w:sz w:val="22"/>
                <w:szCs w:val="22"/>
              </w:rPr>
              <w:t>MedStar patient for at least one year.</w:t>
            </w:r>
          </w:p>
        </w:tc>
      </w:tr>
      <w:tr w:rsidR="5383272C" w:rsidTr="35A31DE5" w14:paraId="16029E2F" w14:textId="77777777">
        <w:tc>
          <w:tcPr>
            <w:tcW w:w="9360" w:type="dxa"/>
            <w:tcMar/>
          </w:tcPr>
          <w:p w:rsidR="5383272C" w:rsidP="35A31DE5" w:rsidRDefault="5383272C" w14:paraId="40274DE4" w14:textId="6FAA1BE2">
            <w:pPr>
              <w:pStyle w:val="ListParagraph"/>
              <w:numPr>
                <w:ilvl w:val="0"/>
                <w:numId w:val="5"/>
              </w:numPr>
              <w:spacing w:line="259" w:lineRule="auto"/>
              <w:rPr>
                <w:rFonts w:ascii="Times New Roman" w:hAnsi="Times New Roman" w:eastAsia="Times New Roman" w:cs="Times New Roman"/>
                <w:color w:val="000000" w:themeColor="text1"/>
                <w:sz w:val="22"/>
                <w:szCs w:val="22"/>
              </w:rPr>
            </w:pPr>
            <w:r w:rsidRPr="35A31DE5" w:rsidR="01A8E401">
              <w:rPr>
                <w:rFonts w:ascii="Times New Roman" w:hAnsi="Times New Roman" w:eastAsia="Times New Roman" w:cs="Times New Roman"/>
                <w:color w:val="000000" w:themeColor="text1" w:themeTint="FF" w:themeShade="FF"/>
                <w:sz w:val="22"/>
                <w:szCs w:val="22"/>
              </w:rPr>
              <w:t>Has a MedStar Primary Care Physician</w:t>
            </w:r>
          </w:p>
        </w:tc>
      </w:tr>
      <w:tr w:rsidR="5383272C" w:rsidTr="35A31DE5" w14:paraId="0814334F" w14:textId="77777777">
        <w:tc>
          <w:tcPr>
            <w:tcW w:w="9360" w:type="dxa"/>
            <w:shd w:val="clear" w:color="auto" w:fill="F2F2F2" w:themeFill="background1" w:themeFillShade="F2"/>
            <w:tcMar/>
          </w:tcPr>
          <w:p w:rsidR="5383272C" w:rsidP="35A31DE5" w:rsidRDefault="5383272C" w14:paraId="7ACB35FA" w14:textId="14BDC403">
            <w:pPr>
              <w:spacing w:line="259" w:lineRule="auto"/>
              <w:rPr>
                <w:rFonts w:ascii="Times New Roman" w:hAnsi="Times New Roman" w:eastAsia="Times New Roman" w:cs="Times New Roman"/>
                <w:color w:val="000000" w:themeColor="text1"/>
                <w:sz w:val="22"/>
                <w:szCs w:val="22"/>
              </w:rPr>
            </w:pPr>
            <w:r w:rsidRPr="35A31DE5" w:rsidR="01A8E401">
              <w:rPr>
                <w:rFonts w:ascii="Times New Roman" w:hAnsi="Times New Roman" w:eastAsia="Times New Roman" w:cs="Times New Roman"/>
                <w:color w:val="000000" w:themeColor="text1" w:themeTint="FF" w:themeShade="FF"/>
                <w:sz w:val="22"/>
                <w:szCs w:val="22"/>
              </w:rPr>
              <w:t>Exclusion Criteria:</w:t>
            </w:r>
          </w:p>
        </w:tc>
      </w:tr>
      <w:tr w:rsidR="5383272C" w:rsidTr="35A31DE5" w14:paraId="3B828222" w14:textId="77777777">
        <w:tc>
          <w:tcPr>
            <w:tcW w:w="9360" w:type="dxa"/>
            <w:tcMar/>
          </w:tcPr>
          <w:p w:rsidR="5383272C" w:rsidP="35A31DE5" w:rsidRDefault="5383272C" w14:paraId="1903651E" w14:textId="135BD412">
            <w:pPr>
              <w:pStyle w:val="ListParagraph"/>
              <w:numPr>
                <w:ilvl w:val="0"/>
                <w:numId w:val="3"/>
              </w:numPr>
              <w:spacing w:line="259" w:lineRule="auto"/>
              <w:rPr>
                <w:rFonts w:ascii="Times New Roman" w:hAnsi="Times New Roman" w:eastAsia="Times New Roman" w:cs="Times New Roman"/>
                <w:color w:val="000000" w:themeColor="text1"/>
                <w:sz w:val="22"/>
                <w:szCs w:val="22"/>
              </w:rPr>
            </w:pPr>
            <w:r w:rsidRPr="35A31DE5" w:rsidR="01A8E401">
              <w:rPr>
                <w:rFonts w:ascii="Times New Roman" w:hAnsi="Times New Roman" w:eastAsia="Times New Roman" w:cs="Times New Roman"/>
                <w:color w:val="000000" w:themeColor="text1" w:themeTint="FF" w:themeShade="FF"/>
                <w:sz w:val="22"/>
                <w:szCs w:val="22"/>
              </w:rPr>
              <w:t>Procedures or treatments indicative of existing CKD (</w:t>
            </w:r>
            <w:proofErr w:type="gramStart"/>
            <w:r w:rsidRPr="35A31DE5" w:rsidR="01A8E401">
              <w:rPr>
                <w:rFonts w:ascii="Times New Roman" w:hAnsi="Times New Roman" w:eastAsia="Times New Roman" w:cs="Times New Roman"/>
                <w:color w:val="000000" w:themeColor="text1" w:themeTint="FF" w:themeShade="FF"/>
                <w:sz w:val="22"/>
                <w:szCs w:val="22"/>
              </w:rPr>
              <w:t>i.e.</w:t>
            </w:r>
            <w:proofErr w:type="gramEnd"/>
            <w:r w:rsidRPr="35A31DE5" w:rsidR="01A8E401">
              <w:rPr>
                <w:rFonts w:ascii="Times New Roman" w:hAnsi="Times New Roman" w:eastAsia="Times New Roman" w:cs="Times New Roman"/>
                <w:color w:val="000000" w:themeColor="text1" w:themeTint="FF" w:themeShade="FF"/>
                <w:sz w:val="22"/>
                <w:szCs w:val="22"/>
              </w:rPr>
              <w:t xml:space="preserve"> prior fistula placement, dialysis, or kidney transplant)</w:t>
            </w:r>
          </w:p>
        </w:tc>
      </w:tr>
      <w:tr w:rsidR="5383272C" w:rsidTr="35A31DE5" w14:paraId="3D0C1F46" w14:textId="77777777">
        <w:tc>
          <w:tcPr>
            <w:tcW w:w="9360" w:type="dxa"/>
            <w:tcMar/>
          </w:tcPr>
          <w:p w:rsidR="5383272C" w:rsidP="35A31DE5" w:rsidRDefault="5383272C" w14:paraId="581376F4" w14:textId="1849FE4D">
            <w:pPr>
              <w:pStyle w:val="ListParagraph"/>
              <w:numPr>
                <w:ilvl w:val="0"/>
                <w:numId w:val="3"/>
              </w:numPr>
              <w:spacing w:line="259" w:lineRule="auto"/>
              <w:rPr>
                <w:rFonts w:ascii="Times New Roman" w:hAnsi="Times New Roman" w:eastAsia="Times New Roman" w:cs="Times New Roman"/>
                <w:color w:val="000000" w:themeColor="text1"/>
                <w:sz w:val="22"/>
                <w:szCs w:val="22"/>
              </w:rPr>
            </w:pPr>
            <w:r w:rsidRPr="35A31DE5" w:rsidR="01A8E401">
              <w:rPr>
                <w:rFonts w:ascii="Times New Roman" w:hAnsi="Times New Roman" w:eastAsia="Times New Roman" w:cs="Times New Roman"/>
                <w:color w:val="000000" w:themeColor="text1" w:themeTint="FF" w:themeShade="FF"/>
                <w:sz w:val="22"/>
                <w:szCs w:val="22"/>
              </w:rPr>
              <w:t xml:space="preserve"> Prior history of solid organ transplant</w:t>
            </w:r>
          </w:p>
        </w:tc>
      </w:tr>
      <w:tr w:rsidR="5383272C" w:rsidTr="35A31DE5" w14:paraId="07FA6666" w14:textId="77777777">
        <w:tc>
          <w:tcPr>
            <w:tcW w:w="9360" w:type="dxa"/>
            <w:tcMar/>
          </w:tcPr>
          <w:p w:rsidR="5383272C" w:rsidP="35A31DE5" w:rsidRDefault="5383272C" w14:paraId="4D0A44DA" w14:textId="2036179D">
            <w:pPr>
              <w:pStyle w:val="ListParagraph"/>
              <w:numPr>
                <w:ilvl w:val="0"/>
                <w:numId w:val="3"/>
              </w:numPr>
              <w:spacing w:line="259" w:lineRule="auto"/>
              <w:rPr>
                <w:rFonts w:ascii="Times New Roman" w:hAnsi="Times New Roman" w:eastAsia="Times New Roman" w:cs="Times New Roman"/>
                <w:color w:val="000000" w:themeColor="text1"/>
                <w:sz w:val="22"/>
                <w:szCs w:val="22"/>
              </w:rPr>
            </w:pPr>
            <w:r w:rsidRPr="35A31DE5" w:rsidR="01A8E401">
              <w:rPr>
                <w:rFonts w:ascii="Times New Roman" w:hAnsi="Times New Roman" w:eastAsia="Times New Roman" w:cs="Times New Roman"/>
                <w:color w:val="000000" w:themeColor="text1" w:themeTint="FF" w:themeShade="FF"/>
                <w:sz w:val="22"/>
                <w:szCs w:val="22"/>
              </w:rPr>
              <w:t>Ages less than 18</w:t>
            </w:r>
          </w:p>
        </w:tc>
      </w:tr>
    </w:tbl>
    <w:p w:rsidR="00410B0B" w:rsidP="5383272C" w:rsidRDefault="00410B0B" w14:paraId="34B91B8B" w14:textId="76021359">
      <w:pPr>
        <w:spacing w:after="0"/>
        <w:rPr>
          <w:rFonts w:ascii="Times New Roman" w:hAnsi="Times New Roman" w:eastAsia="Times New Roman" w:cs="Times New Roman"/>
        </w:rPr>
      </w:pPr>
    </w:p>
    <w:p w:rsidR="00410B0B" w:rsidP="5383272C" w:rsidRDefault="5383272C" w14:paraId="0AD4F60D" w14:textId="48FA21AA">
      <w:pPr>
        <w:pStyle w:val="Heading1"/>
        <w:spacing w:before="0"/>
        <w:rPr>
          <w:rFonts w:ascii="Times New Roman" w:hAnsi="Times New Roman" w:eastAsia="Times New Roman" w:cs="Times New Roman"/>
          <w:b/>
          <w:bCs/>
          <w:color w:val="auto"/>
          <w:sz w:val="28"/>
          <w:szCs w:val="28"/>
        </w:rPr>
      </w:pPr>
      <w:r w:rsidRPr="5383272C">
        <w:rPr>
          <w:rFonts w:ascii="Times New Roman" w:hAnsi="Times New Roman" w:eastAsia="Times New Roman" w:cs="Times New Roman"/>
          <w:b/>
          <w:bCs/>
          <w:color w:val="auto"/>
          <w:sz w:val="28"/>
          <w:szCs w:val="28"/>
        </w:rPr>
        <w:t>11.0</w:t>
      </w:r>
      <w:r w:rsidRPr="5383272C">
        <w:rPr>
          <w:rFonts w:ascii="Times New Roman" w:hAnsi="Times New Roman" w:eastAsia="Times New Roman" w:cs="Times New Roman"/>
          <w:b/>
          <w:bCs/>
          <w:color w:val="auto"/>
          <w:sz w:val="14"/>
          <w:szCs w:val="14"/>
        </w:rPr>
        <w:t xml:space="preserve">      </w:t>
      </w:r>
      <w:r w:rsidRPr="5383272C">
        <w:rPr>
          <w:rFonts w:ascii="Times New Roman" w:hAnsi="Times New Roman" w:eastAsia="Times New Roman" w:cs="Times New Roman"/>
          <w:b/>
          <w:bCs/>
          <w:color w:val="auto"/>
          <w:sz w:val="28"/>
          <w:szCs w:val="28"/>
        </w:rPr>
        <w:t>Vulnerable Populations*</w:t>
      </w:r>
    </w:p>
    <w:p w:rsidR="00410B0B" w:rsidP="35A31DE5" w:rsidRDefault="5383272C" w14:paraId="41E4613F" w14:textId="7612A8A5">
      <w:pPr>
        <w:tabs>
          <w:tab w:val="left" w:pos="1800"/>
        </w:tabs>
        <w:spacing w:after="0"/>
        <w:rPr>
          <w:rFonts w:ascii="Times New Roman" w:hAnsi="Times New Roman" w:eastAsia="Times New Roman" w:cs="Times New Roman"/>
          <w:i w:val="1"/>
          <w:iCs w:val="1"/>
          <w:sz w:val="24"/>
          <w:szCs w:val="24"/>
        </w:rPr>
      </w:pPr>
      <w:r w:rsidRPr="35A31DE5" w:rsidR="01A8E401">
        <w:rPr>
          <w:rFonts w:ascii="Times New Roman" w:hAnsi="Times New Roman" w:eastAsia="Times New Roman" w:cs="Times New Roman"/>
          <w:i w:val="1"/>
          <w:iCs w:val="1"/>
          <w:sz w:val="24"/>
          <w:szCs w:val="24"/>
        </w:rPr>
        <w:t>NA</w:t>
      </w:r>
    </w:p>
    <w:p w:rsidR="6BF41D3A" w:rsidP="6BF41D3A" w:rsidRDefault="6BF41D3A" w14:paraId="63698B3B" w14:textId="56250498">
      <w:pPr>
        <w:tabs>
          <w:tab w:val="left" w:pos="1800"/>
        </w:tabs>
        <w:spacing w:after="0"/>
        <w:rPr>
          <w:rFonts w:ascii="Times New Roman" w:hAnsi="Times New Roman" w:eastAsia="Times New Roman" w:cs="Times New Roman"/>
          <w:i/>
          <w:iCs/>
          <w:sz w:val="24"/>
          <w:szCs w:val="24"/>
        </w:rPr>
      </w:pPr>
    </w:p>
    <w:p w:rsidR="00410B0B" w:rsidP="5383272C" w:rsidRDefault="5383272C" w14:paraId="6FD99346" w14:textId="3BCFE80C">
      <w:pPr>
        <w:pStyle w:val="Heading1"/>
        <w:spacing w:before="0"/>
        <w:rPr>
          <w:rFonts w:ascii="Times New Roman" w:hAnsi="Times New Roman" w:eastAsia="Times New Roman" w:cs="Times New Roman"/>
          <w:b/>
          <w:bCs/>
          <w:color w:val="auto"/>
          <w:sz w:val="28"/>
          <w:szCs w:val="28"/>
        </w:rPr>
      </w:pPr>
      <w:r w:rsidRPr="35A31DE5" w:rsidR="01A8E401">
        <w:rPr>
          <w:rFonts w:ascii="Times New Roman" w:hAnsi="Times New Roman" w:eastAsia="Times New Roman" w:cs="Times New Roman"/>
          <w:b w:val="1"/>
          <w:bCs w:val="1"/>
          <w:color w:val="auto"/>
          <w:sz w:val="28"/>
          <w:szCs w:val="28"/>
        </w:rPr>
        <w:t>12.0</w:t>
      </w:r>
      <w:r w:rsidRPr="35A31DE5" w:rsidR="01A8E401">
        <w:rPr>
          <w:rFonts w:ascii="Times New Roman" w:hAnsi="Times New Roman" w:eastAsia="Times New Roman" w:cs="Times New Roman"/>
          <w:b w:val="1"/>
          <w:bCs w:val="1"/>
          <w:color w:val="auto"/>
          <w:sz w:val="14"/>
          <w:szCs w:val="14"/>
        </w:rPr>
        <w:t xml:space="preserve">      </w:t>
      </w:r>
      <w:r w:rsidRPr="35A31DE5" w:rsidR="01A8E401">
        <w:rPr>
          <w:rFonts w:ascii="Times New Roman" w:hAnsi="Times New Roman" w:eastAsia="Times New Roman" w:cs="Times New Roman"/>
          <w:b w:val="1"/>
          <w:bCs w:val="1"/>
          <w:color w:val="auto"/>
          <w:sz w:val="28"/>
          <w:szCs w:val="28"/>
        </w:rPr>
        <w:t>Local Number of Subjects</w:t>
      </w:r>
    </w:p>
    <w:p w:rsidR="00410B0B" w:rsidP="35A31DE5" w:rsidRDefault="00410B0B" w14:paraId="14945552" w14:textId="5A394C52">
      <w:pPr>
        <w:pStyle w:val="Normal"/>
        <w:rPr>
          <w:rFonts w:ascii="Times New Roman" w:hAnsi="Times New Roman" w:eastAsia="Times New Roman" w:cs="Times New Roman"/>
          <w:noProof w:val="0"/>
          <w:sz w:val="22"/>
          <w:szCs w:val="22"/>
          <w:lang w:val="en-US"/>
        </w:rPr>
      </w:pPr>
      <w:r w:rsidRPr="35A31DE5" w:rsidR="35A31DE5">
        <w:rPr>
          <w:rFonts w:ascii="Times New Roman" w:hAnsi="Times New Roman" w:eastAsia="Times New Roman" w:cs="Times New Roman"/>
          <w:noProof w:val="0"/>
          <w:sz w:val="24"/>
          <w:szCs w:val="24"/>
          <w:lang w:val="en-US"/>
        </w:rPr>
        <w:t>We estimated a total of 200,000 subjects with newly diagnosed stage 3 or stage 4 CKD in our study cohort.</w:t>
      </w:r>
    </w:p>
    <w:p w:rsidR="00410B0B" w:rsidP="5383272C" w:rsidRDefault="5383272C" w14:paraId="3591CF5D" w14:textId="488A9CE8">
      <w:pPr>
        <w:pStyle w:val="Heading1"/>
        <w:spacing w:before="0"/>
        <w:rPr>
          <w:rFonts w:ascii="Times New Roman" w:hAnsi="Times New Roman" w:eastAsia="Times New Roman" w:cs="Times New Roman"/>
          <w:b/>
          <w:bCs/>
          <w:color w:val="auto"/>
          <w:sz w:val="28"/>
          <w:szCs w:val="28"/>
        </w:rPr>
      </w:pPr>
      <w:r w:rsidRPr="5383272C">
        <w:rPr>
          <w:rFonts w:ascii="Times New Roman" w:hAnsi="Times New Roman" w:eastAsia="Times New Roman" w:cs="Times New Roman"/>
          <w:b/>
          <w:bCs/>
          <w:color w:val="auto"/>
          <w:sz w:val="28"/>
          <w:szCs w:val="28"/>
        </w:rPr>
        <w:t>13.0</w:t>
      </w:r>
      <w:r w:rsidRPr="5383272C">
        <w:rPr>
          <w:rFonts w:ascii="Times New Roman" w:hAnsi="Times New Roman" w:eastAsia="Times New Roman" w:cs="Times New Roman"/>
          <w:b/>
          <w:bCs/>
          <w:color w:val="auto"/>
          <w:sz w:val="14"/>
          <w:szCs w:val="14"/>
        </w:rPr>
        <w:t xml:space="preserve">      </w:t>
      </w:r>
      <w:r w:rsidRPr="5383272C">
        <w:rPr>
          <w:rFonts w:ascii="Times New Roman" w:hAnsi="Times New Roman" w:eastAsia="Times New Roman" w:cs="Times New Roman"/>
          <w:b/>
          <w:bCs/>
          <w:color w:val="auto"/>
          <w:sz w:val="28"/>
          <w:szCs w:val="28"/>
        </w:rPr>
        <w:t>Recruitment Methods</w:t>
      </w:r>
    </w:p>
    <w:p w:rsidR="00410B0B" w:rsidP="35A31DE5" w:rsidRDefault="5383272C" w14:paraId="49271BCF" w14:textId="405DEBEA">
      <w:pPr>
        <w:spacing w:after="0"/>
        <w:rPr>
          <w:rFonts w:ascii="Times New Roman" w:hAnsi="Times New Roman" w:eastAsia="Times New Roman" w:cs="Times New Roman"/>
          <w:i w:val="1"/>
          <w:iCs w:val="1"/>
          <w:sz w:val="24"/>
          <w:szCs w:val="24"/>
        </w:rPr>
      </w:pPr>
      <w:r w:rsidRPr="35A31DE5" w:rsidR="01A8E401">
        <w:rPr>
          <w:rFonts w:ascii="Times New Roman" w:hAnsi="Times New Roman" w:eastAsia="Times New Roman" w:cs="Times New Roman"/>
          <w:i w:val="1"/>
          <w:iCs w:val="1"/>
          <w:sz w:val="24"/>
          <w:szCs w:val="24"/>
        </w:rPr>
        <w:t>NA</w:t>
      </w:r>
    </w:p>
    <w:p w:rsidR="6BF41D3A" w:rsidP="6BF41D3A" w:rsidRDefault="6BF41D3A" w14:paraId="7F25CAAD" w14:textId="4ABF7CDC">
      <w:pPr>
        <w:spacing w:after="0"/>
        <w:rPr>
          <w:rFonts w:ascii="Times New Roman" w:hAnsi="Times New Roman" w:eastAsia="Times New Roman" w:cs="Times New Roman"/>
          <w:i/>
          <w:iCs/>
        </w:rPr>
      </w:pPr>
    </w:p>
    <w:p w:rsidR="00410B0B" w:rsidP="5383272C" w:rsidRDefault="5383272C" w14:paraId="2F4E8EF1" w14:textId="3E7BEE94">
      <w:pPr>
        <w:pStyle w:val="Heading1"/>
        <w:spacing w:before="0"/>
        <w:rPr>
          <w:rFonts w:ascii="Times New Roman" w:hAnsi="Times New Roman" w:eastAsia="Times New Roman" w:cs="Times New Roman"/>
          <w:b/>
          <w:bCs/>
          <w:color w:val="auto"/>
          <w:sz w:val="28"/>
          <w:szCs w:val="28"/>
        </w:rPr>
      </w:pPr>
      <w:r w:rsidRPr="5383272C">
        <w:rPr>
          <w:rFonts w:ascii="Times New Roman" w:hAnsi="Times New Roman" w:eastAsia="Times New Roman" w:cs="Times New Roman"/>
          <w:b/>
          <w:bCs/>
          <w:color w:val="auto"/>
          <w:sz w:val="28"/>
          <w:szCs w:val="28"/>
        </w:rPr>
        <w:t>14.0</w:t>
      </w:r>
      <w:r w:rsidRPr="5383272C">
        <w:rPr>
          <w:rFonts w:ascii="Times New Roman" w:hAnsi="Times New Roman" w:eastAsia="Times New Roman" w:cs="Times New Roman"/>
          <w:b/>
          <w:bCs/>
          <w:color w:val="auto"/>
          <w:sz w:val="14"/>
          <w:szCs w:val="14"/>
        </w:rPr>
        <w:t xml:space="preserve">      </w:t>
      </w:r>
      <w:r w:rsidRPr="5383272C">
        <w:rPr>
          <w:rFonts w:ascii="Times New Roman" w:hAnsi="Times New Roman" w:eastAsia="Times New Roman" w:cs="Times New Roman"/>
          <w:b/>
          <w:bCs/>
          <w:color w:val="auto"/>
          <w:sz w:val="28"/>
          <w:szCs w:val="28"/>
        </w:rPr>
        <w:t>Withdrawal of Subjects*</w:t>
      </w:r>
    </w:p>
    <w:p w:rsidR="00410B0B" w:rsidP="35A31DE5" w:rsidRDefault="5383272C" w14:paraId="6F2DD436" w14:textId="4C1FCD6B">
      <w:pPr>
        <w:spacing w:after="0"/>
        <w:rPr>
          <w:rFonts w:ascii="Times New Roman" w:hAnsi="Times New Roman" w:eastAsia="Times New Roman" w:cs="Times New Roman"/>
          <w:i w:val="1"/>
          <w:iCs w:val="1"/>
          <w:sz w:val="24"/>
          <w:szCs w:val="24"/>
        </w:rPr>
      </w:pPr>
      <w:r w:rsidRPr="35A31DE5" w:rsidR="01A8E401">
        <w:rPr>
          <w:rFonts w:ascii="Times New Roman" w:hAnsi="Times New Roman" w:eastAsia="Times New Roman" w:cs="Times New Roman"/>
          <w:i w:val="1"/>
          <w:iCs w:val="1"/>
          <w:sz w:val="24"/>
          <w:szCs w:val="24"/>
        </w:rPr>
        <w:t>NA</w:t>
      </w:r>
    </w:p>
    <w:p w:rsidR="6BF41D3A" w:rsidP="6BF41D3A" w:rsidRDefault="6BF41D3A" w14:paraId="429CD05D" w14:textId="3AFC6D42">
      <w:pPr>
        <w:spacing w:after="0"/>
        <w:rPr>
          <w:rFonts w:ascii="Times New Roman" w:hAnsi="Times New Roman" w:eastAsia="Times New Roman" w:cs="Times New Roman"/>
          <w:i/>
          <w:iCs/>
        </w:rPr>
      </w:pPr>
    </w:p>
    <w:p w:rsidR="00410B0B" w:rsidP="5383272C" w:rsidRDefault="5383272C" w14:paraId="5E1DD89C" w14:textId="62DB1437">
      <w:pPr>
        <w:pStyle w:val="Heading1"/>
        <w:spacing w:before="0"/>
        <w:rPr>
          <w:rFonts w:ascii="Times New Roman" w:hAnsi="Times New Roman" w:eastAsia="Times New Roman" w:cs="Times New Roman"/>
          <w:b/>
          <w:bCs/>
          <w:color w:val="auto"/>
          <w:sz w:val="28"/>
          <w:szCs w:val="28"/>
        </w:rPr>
      </w:pPr>
      <w:r w:rsidRPr="5383272C">
        <w:rPr>
          <w:rFonts w:ascii="Times New Roman" w:hAnsi="Times New Roman" w:eastAsia="Times New Roman" w:cs="Times New Roman"/>
          <w:b/>
          <w:bCs/>
          <w:color w:val="auto"/>
          <w:sz w:val="28"/>
          <w:szCs w:val="28"/>
        </w:rPr>
        <w:t>15.0</w:t>
      </w:r>
      <w:r w:rsidRPr="5383272C">
        <w:rPr>
          <w:rFonts w:ascii="Times New Roman" w:hAnsi="Times New Roman" w:eastAsia="Times New Roman" w:cs="Times New Roman"/>
          <w:b/>
          <w:bCs/>
          <w:color w:val="auto"/>
          <w:sz w:val="14"/>
          <w:szCs w:val="14"/>
        </w:rPr>
        <w:t xml:space="preserve">      </w:t>
      </w:r>
      <w:r w:rsidRPr="5383272C">
        <w:rPr>
          <w:rFonts w:ascii="Times New Roman" w:hAnsi="Times New Roman" w:eastAsia="Times New Roman" w:cs="Times New Roman"/>
          <w:b/>
          <w:bCs/>
          <w:color w:val="auto"/>
          <w:sz w:val="28"/>
          <w:szCs w:val="28"/>
        </w:rPr>
        <w:t>Risks to Subjects*</w:t>
      </w:r>
    </w:p>
    <w:p w:rsidR="00410B0B" w:rsidP="5383272C" w:rsidRDefault="5383272C" w14:paraId="0CE77F66" w14:textId="6915ECCF">
      <w:pPr>
        <w:spacing w:after="0"/>
      </w:pPr>
      <w:r w:rsidRPr="1F9C4660">
        <w:rPr>
          <w:rFonts w:ascii="Times New Roman" w:hAnsi="Times New Roman" w:eastAsia="Times New Roman" w:cs="Times New Roman"/>
          <w:sz w:val="24"/>
          <w:szCs w:val="24"/>
        </w:rPr>
        <w:t xml:space="preserve">There are no direct risks to patients. Indirect risks consist primarily of breach of confidentiality which will be minimized by having data de-identified prior to statistical analyses, using the </w:t>
      </w:r>
      <w:r w:rsidRPr="1F9C4660">
        <w:rPr>
          <w:rFonts w:ascii="Times New Roman" w:hAnsi="Times New Roman" w:eastAsia="Times New Roman" w:cs="Times New Roman"/>
          <w:color w:val="000000" w:themeColor="text1"/>
          <w:sz w:val="24"/>
          <w:szCs w:val="24"/>
        </w:rPr>
        <w:t>OHDSI</w:t>
      </w:r>
      <w:r w:rsidRPr="1F9C4660">
        <w:rPr>
          <w:rFonts w:ascii="Times New Roman" w:hAnsi="Times New Roman" w:eastAsia="Times New Roman" w:cs="Times New Roman"/>
          <w:sz w:val="24"/>
          <w:szCs w:val="24"/>
        </w:rPr>
        <w:t xml:space="preserve"> data source for which data extraction from the electronic health record is automated, and following strict data confidentiality procedures as outlined below.</w:t>
      </w:r>
    </w:p>
    <w:p w:rsidR="00410B0B" w:rsidP="5383272C" w:rsidRDefault="5383272C" w14:paraId="0F1E9A40" w14:textId="3207C728">
      <w:pPr>
        <w:spacing w:after="0"/>
      </w:pPr>
      <w:r w:rsidRPr="5383272C">
        <w:rPr>
          <w:rFonts w:ascii="Times New Roman" w:hAnsi="Times New Roman" w:eastAsia="Times New Roman" w:cs="Times New Roman"/>
          <w:color w:val="000000" w:themeColor="text1"/>
          <w:sz w:val="24"/>
          <w:szCs w:val="24"/>
        </w:rPr>
        <w:t xml:space="preserve"> </w:t>
      </w:r>
    </w:p>
    <w:p w:rsidR="00410B0B" w:rsidP="5383272C" w:rsidRDefault="5383272C" w14:paraId="082A5724" w14:textId="5F316F46">
      <w:pPr>
        <w:pStyle w:val="Heading1"/>
        <w:spacing w:before="0"/>
        <w:rPr>
          <w:rFonts w:ascii="Times New Roman" w:hAnsi="Times New Roman" w:eastAsia="Times New Roman" w:cs="Times New Roman"/>
          <w:b/>
          <w:bCs/>
          <w:color w:val="auto"/>
          <w:sz w:val="28"/>
          <w:szCs w:val="28"/>
        </w:rPr>
      </w:pPr>
      <w:r w:rsidRPr="5383272C">
        <w:rPr>
          <w:rFonts w:ascii="Times New Roman" w:hAnsi="Times New Roman" w:eastAsia="Times New Roman" w:cs="Times New Roman"/>
          <w:b/>
          <w:bCs/>
          <w:color w:val="auto"/>
          <w:sz w:val="28"/>
          <w:szCs w:val="28"/>
        </w:rPr>
        <w:t>16.0</w:t>
      </w:r>
      <w:r w:rsidRPr="5383272C">
        <w:rPr>
          <w:rFonts w:ascii="Times New Roman" w:hAnsi="Times New Roman" w:eastAsia="Times New Roman" w:cs="Times New Roman"/>
          <w:b/>
          <w:bCs/>
          <w:color w:val="auto"/>
          <w:sz w:val="14"/>
          <w:szCs w:val="14"/>
        </w:rPr>
        <w:t xml:space="preserve">      </w:t>
      </w:r>
      <w:r w:rsidRPr="5383272C">
        <w:rPr>
          <w:rFonts w:ascii="Times New Roman" w:hAnsi="Times New Roman" w:eastAsia="Times New Roman" w:cs="Times New Roman"/>
          <w:b/>
          <w:bCs/>
          <w:color w:val="auto"/>
          <w:sz w:val="28"/>
          <w:szCs w:val="28"/>
        </w:rPr>
        <w:t>Potential Benefits to Subjects*</w:t>
      </w:r>
    </w:p>
    <w:p w:rsidR="00410B0B" w:rsidP="5383272C" w:rsidRDefault="5383272C" w14:paraId="4E2CBF61" w14:textId="22A9D36E">
      <w:pPr>
        <w:spacing w:after="0"/>
        <w:rPr>
          <w:rFonts w:ascii="Times New Roman" w:hAnsi="Times New Roman" w:eastAsia="Times New Roman" w:cs="Times New Roman"/>
          <w:sz w:val="24"/>
          <w:szCs w:val="24"/>
        </w:rPr>
      </w:pPr>
      <w:r w:rsidRPr="1F9C4660">
        <w:rPr>
          <w:rFonts w:ascii="Times New Roman" w:hAnsi="Times New Roman" w:eastAsia="Times New Roman" w:cs="Times New Roman"/>
          <w:sz w:val="24"/>
          <w:szCs w:val="24"/>
        </w:rPr>
        <w:t xml:space="preserve">There is no direct benefit to study subjects, however this study will help determine if racial and/or ethnic disparities exist in the timeliness of nephrology care and identify factors associated with potential disparities. If disparities are identified, this study will help inform the development of local, state, and national health strategies aimed at reducing disparities in the timeliness of nephrology care. </w:t>
      </w:r>
    </w:p>
    <w:p w:rsidR="00410B0B" w:rsidP="5383272C" w:rsidRDefault="5383272C" w14:paraId="586A07DA" w14:textId="63F4DEC4">
      <w:pPr>
        <w:spacing w:after="0"/>
      </w:pPr>
      <w:r w:rsidRPr="5383272C">
        <w:rPr>
          <w:rFonts w:ascii="Times New Roman" w:hAnsi="Times New Roman" w:eastAsia="Times New Roman" w:cs="Times New Roman"/>
          <w:color w:val="000000" w:themeColor="text1"/>
          <w:sz w:val="24"/>
          <w:szCs w:val="24"/>
        </w:rPr>
        <w:t xml:space="preserve"> </w:t>
      </w:r>
    </w:p>
    <w:p w:rsidR="00410B0B" w:rsidP="5383272C" w:rsidRDefault="5383272C" w14:paraId="1FFBF699" w14:textId="31EBA43B">
      <w:pPr>
        <w:pStyle w:val="Heading1"/>
        <w:spacing w:before="0"/>
        <w:rPr>
          <w:rFonts w:ascii="Times New Roman" w:hAnsi="Times New Roman" w:eastAsia="Times New Roman" w:cs="Times New Roman"/>
          <w:b/>
          <w:bCs/>
          <w:color w:val="auto"/>
          <w:sz w:val="28"/>
          <w:szCs w:val="28"/>
        </w:rPr>
      </w:pPr>
      <w:r w:rsidRPr="5383272C">
        <w:rPr>
          <w:rFonts w:ascii="Times New Roman" w:hAnsi="Times New Roman" w:eastAsia="Times New Roman" w:cs="Times New Roman"/>
          <w:b/>
          <w:bCs/>
          <w:color w:val="auto"/>
          <w:sz w:val="28"/>
          <w:szCs w:val="28"/>
        </w:rPr>
        <w:t>17.0</w:t>
      </w:r>
      <w:r w:rsidRPr="5383272C">
        <w:rPr>
          <w:rFonts w:ascii="Times New Roman" w:hAnsi="Times New Roman" w:eastAsia="Times New Roman" w:cs="Times New Roman"/>
          <w:b/>
          <w:bCs/>
          <w:color w:val="auto"/>
          <w:sz w:val="14"/>
          <w:szCs w:val="14"/>
        </w:rPr>
        <w:t xml:space="preserve">      </w:t>
      </w:r>
      <w:r w:rsidRPr="5383272C">
        <w:rPr>
          <w:rFonts w:ascii="Times New Roman" w:hAnsi="Times New Roman" w:eastAsia="Times New Roman" w:cs="Times New Roman"/>
          <w:b/>
          <w:bCs/>
          <w:color w:val="auto"/>
          <w:sz w:val="28"/>
          <w:szCs w:val="28"/>
        </w:rPr>
        <w:t>Data Management and Confidentiality*</w:t>
      </w:r>
    </w:p>
    <w:p w:rsidR="00410B0B" w:rsidP="5383272C" w:rsidRDefault="5383272C" w14:paraId="55438BDF" w14:textId="66467196">
      <w:pPr>
        <w:spacing w:after="0"/>
        <w:rPr>
          <w:rFonts w:ascii="Times New Roman" w:hAnsi="Times New Roman" w:eastAsia="Times New Roman" w:cs="Times New Roman"/>
          <w:sz w:val="24"/>
          <w:szCs w:val="24"/>
        </w:rPr>
      </w:pPr>
      <w:r w:rsidRPr="35A31DE5" w:rsidR="01A8E401">
        <w:rPr>
          <w:rFonts w:ascii="Times New Roman" w:hAnsi="Times New Roman" w:eastAsia="Times New Roman" w:cs="Times New Roman"/>
          <w:sz w:val="24"/>
          <w:szCs w:val="24"/>
        </w:rPr>
        <w:t>This research study will utilize de-identified encounter-level data from the Observational Health Data Sciences and Informatics (</w:t>
      </w:r>
      <w:r w:rsidRPr="35A31DE5" w:rsidR="01A8E401">
        <w:rPr>
          <w:rFonts w:ascii="Times New Roman" w:hAnsi="Times New Roman" w:eastAsia="Times New Roman" w:cs="Times New Roman"/>
          <w:color w:val="000000" w:themeColor="text1" w:themeTint="FF" w:themeShade="FF"/>
          <w:sz w:val="24"/>
          <w:szCs w:val="24"/>
        </w:rPr>
        <w:t>OHDSI</w:t>
      </w:r>
      <w:r w:rsidRPr="35A31DE5" w:rsidR="01A8E401">
        <w:rPr>
          <w:rFonts w:ascii="Times New Roman" w:hAnsi="Times New Roman" w:eastAsia="Times New Roman" w:cs="Times New Roman"/>
          <w:sz w:val="24"/>
          <w:szCs w:val="24"/>
        </w:rPr>
        <w:t xml:space="preserve">), which automates data extraction from hospital EHRs. Patient information will be assigned a unique, random identifier for the study’s dataset after database linkage procedures are completed. For this study, the databases used will be stored on MHRI’s password protected secure server with only authorized users gaining access. Multiple safeguards are in place to protect the integrity of the MedStar network and include firewalls, secure remote access, intrusion detection, virus prevention and detection, spam filtering, website filtering, server and network monitoring and incident reporting. Through routine data security procedures at MHRI, usage of </w:t>
      </w:r>
      <w:proofErr w:type="gramStart"/>
      <w:r w:rsidRPr="35A31DE5" w:rsidR="01A8E401">
        <w:rPr>
          <w:rFonts w:ascii="Times New Roman" w:hAnsi="Times New Roman" w:eastAsia="Times New Roman" w:cs="Times New Roman"/>
          <w:sz w:val="24"/>
          <w:szCs w:val="24"/>
        </w:rPr>
        <w:t>computers servers</w:t>
      </w:r>
      <w:proofErr w:type="gramEnd"/>
      <w:r w:rsidRPr="35A31DE5" w:rsidR="01A8E401">
        <w:rPr>
          <w:rFonts w:ascii="Times New Roman" w:hAnsi="Times New Roman" w:eastAsia="Times New Roman" w:cs="Times New Roman"/>
          <w:sz w:val="24"/>
          <w:szCs w:val="24"/>
        </w:rPr>
        <w:t xml:space="preserve"> and network equipment is continually monitored and modified as needed. </w:t>
      </w:r>
    </w:p>
    <w:p w:rsidR="00410B0B" w:rsidP="5383272C" w:rsidRDefault="5383272C" w14:paraId="12C5855D" w14:textId="2F4408B7">
      <w:pPr>
        <w:spacing w:after="0"/>
        <w:rPr>
          <w:rFonts w:ascii="Times New Roman" w:hAnsi="Times New Roman" w:eastAsia="Times New Roman" w:cs="Times New Roman"/>
          <w:sz w:val="24"/>
          <w:szCs w:val="24"/>
        </w:rPr>
      </w:pPr>
      <w:r w:rsidRPr="35A31DE5" w:rsidR="01A8E401">
        <w:rPr>
          <w:rFonts w:ascii="Times New Roman" w:hAnsi="Times New Roman" w:eastAsia="Times New Roman" w:cs="Times New Roman"/>
          <w:sz w:val="24"/>
          <w:szCs w:val="24"/>
        </w:rPr>
        <w:t xml:space="preserve"> </w:t>
      </w:r>
    </w:p>
    <w:p w:rsidR="00410B0B" w:rsidP="5383272C" w:rsidRDefault="5383272C" w14:paraId="359702A4" w14:textId="03A37DC7">
      <w:pPr>
        <w:spacing w:after="0"/>
        <w:rPr>
          <w:rFonts w:ascii="Times New Roman" w:hAnsi="Times New Roman" w:eastAsia="Times New Roman" w:cs="Times New Roman"/>
          <w:sz w:val="24"/>
          <w:szCs w:val="24"/>
        </w:rPr>
      </w:pPr>
      <w:r w:rsidRPr="35A31DE5" w:rsidR="01A8E401">
        <w:rPr>
          <w:rFonts w:ascii="Times New Roman" w:hAnsi="Times New Roman" w:eastAsia="Times New Roman" w:cs="Times New Roman"/>
          <w:sz w:val="24"/>
          <w:szCs w:val="24"/>
        </w:rPr>
        <w:t>We will maintain strict confidentiality and data storage procedures to protect against indirect identification of individuals and healthcare facilities</w:t>
      </w:r>
      <w:r w:rsidRPr="35A31DE5" w:rsidR="01A8E401">
        <w:rPr>
          <w:rFonts w:ascii="Times New Roman" w:hAnsi="Times New Roman" w:eastAsia="Times New Roman" w:cs="Times New Roman"/>
          <w:sz w:val="24"/>
          <w:szCs w:val="24"/>
        </w:rPr>
        <w:t xml:space="preserve">. </w:t>
      </w:r>
      <w:r w:rsidRPr="35A31DE5" w:rsidR="01A8E401">
        <w:rPr>
          <w:rFonts w:ascii="Times New Roman" w:hAnsi="Times New Roman" w:eastAsia="Times New Roman" w:cs="Times New Roman"/>
          <w:sz w:val="24"/>
          <w:szCs w:val="24"/>
        </w:rPr>
        <w:t xml:space="preserve">The </w:t>
      </w:r>
      <w:r w:rsidRPr="35A31DE5" w:rsidR="01A8E401">
        <w:rPr>
          <w:rFonts w:ascii="Times New Roman" w:hAnsi="Times New Roman" w:eastAsia="Times New Roman" w:cs="Times New Roman"/>
          <w:sz w:val="24"/>
          <w:szCs w:val="24"/>
        </w:rPr>
        <w:t>purpose</w:t>
      </w:r>
      <w:r w:rsidRPr="35A31DE5" w:rsidR="01A8E401">
        <w:rPr>
          <w:rFonts w:ascii="Times New Roman" w:hAnsi="Times New Roman" w:eastAsia="Times New Roman" w:cs="Times New Roman"/>
          <w:sz w:val="24"/>
          <w:szCs w:val="24"/>
        </w:rPr>
        <w:t xml:space="preserve"> of using </w:t>
      </w:r>
      <w:r w:rsidRPr="35A31DE5" w:rsidR="01A8E401">
        <w:rPr>
          <w:rFonts w:ascii="Times New Roman" w:hAnsi="Times New Roman" w:eastAsia="Times New Roman" w:cs="Times New Roman"/>
          <w:color w:val="000000" w:themeColor="text1" w:themeTint="FF" w:themeShade="FF"/>
          <w:sz w:val="24"/>
          <w:szCs w:val="24"/>
        </w:rPr>
        <w:t>OHDSI</w:t>
      </w:r>
      <w:r w:rsidRPr="35A31DE5" w:rsidR="01A8E401">
        <w:rPr>
          <w:rFonts w:ascii="Times New Roman" w:hAnsi="Times New Roman" w:eastAsia="Times New Roman" w:cs="Times New Roman"/>
          <w:sz w:val="24"/>
          <w:szCs w:val="24"/>
        </w:rPr>
        <w:t xml:space="preserve"> data is to identify disparities in the timeliness of the first nephrology encounter in patients with newly diagnosed CKD and potential factors associated with disparities. The </w:t>
      </w:r>
      <w:r w:rsidRPr="35A31DE5" w:rsidR="01A8E401">
        <w:rPr>
          <w:rFonts w:ascii="Times New Roman" w:hAnsi="Times New Roman" w:eastAsia="Times New Roman" w:cs="Times New Roman"/>
          <w:color w:val="000000" w:themeColor="text1" w:themeTint="FF" w:themeShade="FF"/>
          <w:sz w:val="24"/>
          <w:szCs w:val="24"/>
        </w:rPr>
        <w:t>OHDSI</w:t>
      </w:r>
      <w:r w:rsidRPr="35A31DE5" w:rsidR="01A8E401">
        <w:rPr>
          <w:rFonts w:ascii="Times New Roman" w:hAnsi="Times New Roman" w:eastAsia="Times New Roman" w:cs="Times New Roman"/>
          <w:sz w:val="24"/>
          <w:szCs w:val="24"/>
        </w:rPr>
        <w:t xml:space="preserve"> dataset contains information related to patient demographics, diagnoses, encounter characteristics, with the study variables outlined in Table 1. Only the members of the research team will be given access. The study’s dataset will be supplemented with information from the publicly available American Community Survey (ACS), which provides neighborhood characteristics and will be used to link socioeconomic data based on patient’s residential address. After linkage of ACS data, residential address information will be removed from the study’s limited dataset. </w:t>
      </w:r>
    </w:p>
    <w:p w:rsidR="00410B0B" w:rsidP="5383272C" w:rsidRDefault="5383272C" w14:paraId="2DA27197" w14:textId="0120C31B">
      <w:pPr>
        <w:spacing w:after="0"/>
        <w:rPr>
          <w:rFonts w:ascii="Times New Roman" w:hAnsi="Times New Roman" w:eastAsia="Times New Roman" w:cs="Times New Roman"/>
          <w:sz w:val="24"/>
          <w:szCs w:val="24"/>
        </w:rPr>
      </w:pPr>
      <w:r w:rsidRPr="35A31DE5" w:rsidR="01A8E401">
        <w:rPr>
          <w:rFonts w:ascii="Times New Roman" w:hAnsi="Times New Roman" w:eastAsia="Times New Roman" w:cs="Times New Roman"/>
          <w:sz w:val="24"/>
          <w:szCs w:val="24"/>
        </w:rPr>
        <w:t xml:space="preserve"> </w:t>
      </w:r>
    </w:p>
    <w:p w:rsidR="00410B0B" w:rsidP="5383272C" w:rsidRDefault="5383272C" w14:paraId="51CBD9A5" w14:textId="31409704">
      <w:pPr>
        <w:spacing w:after="0"/>
        <w:rPr>
          <w:rFonts w:ascii="Times New Roman" w:hAnsi="Times New Roman" w:eastAsia="Times New Roman" w:cs="Times New Roman"/>
          <w:sz w:val="24"/>
          <w:szCs w:val="24"/>
        </w:rPr>
      </w:pPr>
      <w:r w:rsidRPr="35A31DE5" w:rsidR="01A8E401">
        <w:rPr>
          <w:rFonts w:ascii="Times New Roman" w:hAnsi="Times New Roman" w:eastAsia="Times New Roman" w:cs="Times New Roman"/>
          <w:sz w:val="24"/>
          <w:szCs w:val="24"/>
        </w:rPr>
        <w:t xml:space="preserve">We will ensure that all reports of the research findings provided outside of the research group are presented in the aggregate to protect against indirect identification of individuals or healthcare facilities. The PHI data elements included in Table 1, </w:t>
      </w:r>
      <w:proofErr w:type="gramStart"/>
      <w:r w:rsidRPr="35A31DE5" w:rsidR="01A8E401">
        <w:rPr>
          <w:rFonts w:ascii="Times New Roman" w:hAnsi="Times New Roman" w:eastAsia="Times New Roman" w:cs="Times New Roman"/>
          <w:sz w:val="24"/>
          <w:szCs w:val="24"/>
        </w:rPr>
        <w:t>i.e.</w:t>
      </w:r>
      <w:proofErr w:type="gramEnd"/>
      <w:r w:rsidRPr="35A31DE5" w:rsidR="01A8E401">
        <w:rPr>
          <w:rFonts w:ascii="Times New Roman" w:hAnsi="Times New Roman" w:eastAsia="Times New Roman" w:cs="Times New Roman"/>
          <w:sz w:val="24"/>
          <w:szCs w:val="24"/>
        </w:rPr>
        <w:t xml:space="preserve"> residential address and encounter dates, will be used to compose variables necessary for the study’s analysis and then deleted from the dataset prior to analyses. Additionally, the patient age variable will be categorized such that rare ages (&gt;89) are grouped into a 90+ age category.</w:t>
      </w:r>
    </w:p>
    <w:p w:rsidR="00410B0B" w:rsidP="5383272C" w:rsidRDefault="5383272C" w14:paraId="42188549" w14:textId="50BBCEC0">
      <w:pPr>
        <w:spacing w:after="0"/>
        <w:rPr>
          <w:rFonts w:ascii="Times New Roman" w:hAnsi="Times New Roman" w:eastAsia="Times New Roman" w:cs="Times New Roman"/>
          <w:sz w:val="24"/>
          <w:szCs w:val="24"/>
        </w:rPr>
      </w:pPr>
      <w:r w:rsidRPr="35A31DE5" w:rsidR="01A8E401">
        <w:rPr>
          <w:rFonts w:ascii="Times New Roman" w:hAnsi="Times New Roman" w:eastAsia="Times New Roman" w:cs="Times New Roman"/>
          <w:sz w:val="24"/>
          <w:szCs w:val="24"/>
        </w:rPr>
        <w:t xml:space="preserve"> </w:t>
      </w:r>
    </w:p>
    <w:p w:rsidR="00410B0B" w:rsidP="5383272C" w:rsidRDefault="5383272C" w14:paraId="521F06E2" w14:textId="7C8C3023">
      <w:pPr>
        <w:spacing w:after="0"/>
        <w:rPr>
          <w:rFonts w:ascii="Times New Roman" w:hAnsi="Times New Roman" w:eastAsia="Times New Roman" w:cs="Times New Roman"/>
          <w:sz w:val="24"/>
          <w:szCs w:val="24"/>
        </w:rPr>
      </w:pPr>
      <w:r w:rsidRPr="35A31DE5" w:rsidR="01A8E401">
        <w:rPr>
          <w:rFonts w:ascii="Times New Roman" w:hAnsi="Times New Roman" w:eastAsia="Times New Roman" w:cs="Times New Roman"/>
          <w:sz w:val="24"/>
          <w:szCs w:val="24"/>
        </w:rPr>
        <w:t>Protected health information (PHI) will be destroyed at the earliest opportunity, consistent with conduct of the research, unless there is a health or research justification for retaining the identifiers or such retention is otherwise required by law. The protected health information will not be reused or disclosed to any other person or entity, except as required by law, for authorized oversight of the research study, or for other research for which the use or disclosure of protected health information for which an authorization or opportunity to agree or object is not required by 45 CFR 164.512.</w:t>
      </w:r>
    </w:p>
    <w:p w:rsidR="00410B0B" w:rsidP="5383272C" w:rsidRDefault="5383272C" w14:paraId="40FF60D3" w14:textId="46E12612">
      <w:pPr>
        <w:spacing w:after="0"/>
      </w:pPr>
      <w:r w:rsidRPr="5383272C">
        <w:rPr>
          <w:rFonts w:ascii="Times New Roman" w:hAnsi="Times New Roman" w:eastAsia="Times New Roman" w:cs="Times New Roman"/>
          <w:color w:val="000000" w:themeColor="text1"/>
          <w:sz w:val="24"/>
          <w:szCs w:val="24"/>
        </w:rPr>
        <w:t xml:space="preserve"> </w:t>
      </w:r>
    </w:p>
    <w:p w:rsidR="00410B0B" w:rsidP="5383272C" w:rsidRDefault="5383272C" w14:paraId="1C5A68E3" w14:textId="36F41001">
      <w:pPr>
        <w:pStyle w:val="Heading1"/>
        <w:spacing w:before="0"/>
        <w:rPr>
          <w:rFonts w:ascii="Times New Roman" w:hAnsi="Times New Roman" w:eastAsia="Times New Roman" w:cs="Times New Roman"/>
          <w:b/>
          <w:bCs/>
          <w:color w:val="auto"/>
          <w:sz w:val="28"/>
          <w:szCs w:val="28"/>
        </w:rPr>
      </w:pPr>
      <w:r w:rsidRPr="5383272C">
        <w:rPr>
          <w:rFonts w:ascii="Times New Roman" w:hAnsi="Times New Roman" w:eastAsia="Times New Roman" w:cs="Times New Roman"/>
          <w:b/>
          <w:bCs/>
          <w:color w:val="auto"/>
          <w:sz w:val="28"/>
          <w:szCs w:val="28"/>
        </w:rPr>
        <w:t>18.0</w:t>
      </w:r>
      <w:r w:rsidRPr="5383272C">
        <w:rPr>
          <w:rFonts w:ascii="Times New Roman" w:hAnsi="Times New Roman" w:eastAsia="Times New Roman" w:cs="Times New Roman"/>
          <w:b/>
          <w:bCs/>
          <w:color w:val="auto"/>
          <w:sz w:val="14"/>
          <w:szCs w:val="14"/>
        </w:rPr>
        <w:t xml:space="preserve">      </w:t>
      </w:r>
      <w:r w:rsidRPr="5383272C">
        <w:rPr>
          <w:rFonts w:ascii="Times New Roman" w:hAnsi="Times New Roman" w:eastAsia="Times New Roman" w:cs="Times New Roman"/>
          <w:b/>
          <w:bCs/>
          <w:color w:val="auto"/>
          <w:sz w:val="28"/>
          <w:szCs w:val="28"/>
        </w:rPr>
        <w:t>Provisions to Monitor the Data to Ensure the Safety of Subjects*</w:t>
      </w:r>
    </w:p>
    <w:p w:rsidR="00410B0B" w:rsidP="35A31DE5" w:rsidRDefault="5383272C" w14:paraId="23982314" w14:textId="24911F68">
      <w:pPr>
        <w:tabs>
          <w:tab w:val="left" w:pos="1800"/>
        </w:tabs>
        <w:spacing w:after="0"/>
        <w:ind w:left="360" w:hanging="360"/>
        <w:rPr>
          <w:rFonts w:ascii="Times New Roman" w:hAnsi="Times New Roman" w:eastAsia="Times New Roman" w:cs="Times New Roman"/>
          <w:i w:val="1"/>
          <w:iCs w:val="1"/>
          <w:sz w:val="24"/>
          <w:szCs w:val="24"/>
        </w:rPr>
      </w:pPr>
      <w:r w:rsidRPr="35A31DE5" w:rsidR="01A8E401">
        <w:rPr>
          <w:rFonts w:ascii="Times New Roman" w:hAnsi="Times New Roman" w:eastAsia="Times New Roman" w:cs="Times New Roman"/>
          <w:i w:val="1"/>
          <w:iCs w:val="1"/>
          <w:sz w:val="24"/>
          <w:szCs w:val="24"/>
        </w:rPr>
        <w:t>NA</w:t>
      </w:r>
    </w:p>
    <w:p w:rsidR="6BF41D3A" w:rsidP="6BF41D3A" w:rsidRDefault="6BF41D3A" w14:paraId="1615DB83" w14:textId="71A38CA3">
      <w:pPr>
        <w:tabs>
          <w:tab w:val="left" w:pos="1800"/>
        </w:tabs>
        <w:spacing w:after="0"/>
        <w:ind w:left="360" w:hanging="360"/>
        <w:rPr>
          <w:rFonts w:ascii="Times New Roman" w:hAnsi="Times New Roman" w:eastAsia="Times New Roman" w:cs="Times New Roman"/>
          <w:i/>
          <w:iCs/>
        </w:rPr>
      </w:pPr>
    </w:p>
    <w:p w:rsidR="00410B0B" w:rsidP="5383272C" w:rsidRDefault="5383272C" w14:paraId="122AD3A3" w14:textId="6F3206E7">
      <w:pPr>
        <w:pStyle w:val="Heading1"/>
        <w:spacing w:before="0"/>
        <w:rPr>
          <w:rFonts w:ascii="Times New Roman" w:hAnsi="Times New Roman" w:eastAsia="Times New Roman" w:cs="Times New Roman"/>
          <w:b/>
          <w:bCs/>
          <w:color w:val="auto"/>
          <w:sz w:val="28"/>
          <w:szCs w:val="28"/>
        </w:rPr>
      </w:pPr>
      <w:r w:rsidRPr="5383272C">
        <w:rPr>
          <w:rFonts w:ascii="Times New Roman" w:hAnsi="Times New Roman" w:eastAsia="Times New Roman" w:cs="Times New Roman"/>
          <w:b/>
          <w:bCs/>
          <w:color w:val="auto"/>
          <w:sz w:val="28"/>
          <w:szCs w:val="28"/>
        </w:rPr>
        <w:t>19.0</w:t>
      </w:r>
      <w:r w:rsidRPr="5383272C">
        <w:rPr>
          <w:rFonts w:ascii="Times New Roman" w:hAnsi="Times New Roman" w:eastAsia="Times New Roman" w:cs="Times New Roman"/>
          <w:b/>
          <w:bCs/>
          <w:color w:val="auto"/>
          <w:sz w:val="14"/>
          <w:szCs w:val="14"/>
        </w:rPr>
        <w:t xml:space="preserve">      </w:t>
      </w:r>
      <w:r w:rsidRPr="5383272C">
        <w:rPr>
          <w:rFonts w:ascii="Times New Roman" w:hAnsi="Times New Roman" w:eastAsia="Times New Roman" w:cs="Times New Roman"/>
          <w:b/>
          <w:bCs/>
          <w:color w:val="auto"/>
          <w:sz w:val="28"/>
          <w:szCs w:val="28"/>
        </w:rPr>
        <w:t>Provisions to Protect the Privacy Interests of Subjects</w:t>
      </w:r>
    </w:p>
    <w:p w:rsidR="00410B0B" w:rsidP="35A31DE5" w:rsidRDefault="5383272C" w14:paraId="6A51F768" w14:textId="187D2D51">
      <w:pPr>
        <w:spacing w:after="0"/>
        <w:rPr>
          <w:rFonts w:ascii="Times New Roman" w:hAnsi="Times New Roman" w:eastAsia="Times New Roman" w:cs="Times New Roman"/>
          <w:i w:val="1"/>
          <w:iCs w:val="1"/>
          <w:sz w:val="24"/>
          <w:szCs w:val="24"/>
        </w:rPr>
      </w:pPr>
      <w:r w:rsidRPr="35A31DE5" w:rsidR="01A8E401">
        <w:rPr>
          <w:rFonts w:ascii="Times New Roman" w:hAnsi="Times New Roman" w:eastAsia="Times New Roman" w:cs="Times New Roman"/>
          <w:i w:val="1"/>
          <w:iCs w:val="1"/>
          <w:sz w:val="24"/>
          <w:szCs w:val="24"/>
        </w:rPr>
        <w:t>NA</w:t>
      </w:r>
    </w:p>
    <w:p w:rsidR="6BF41D3A" w:rsidP="6BF41D3A" w:rsidRDefault="6BF41D3A" w14:paraId="63E336FD" w14:textId="4A56F2A2">
      <w:pPr>
        <w:spacing w:after="0"/>
        <w:rPr>
          <w:rFonts w:ascii="Times New Roman" w:hAnsi="Times New Roman" w:eastAsia="Times New Roman" w:cs="Times New Roman"/>
          <w:i/>
          <w:iCs/>
          <w:sz w:val="24"/>
          <w:szCs w:val="24"/>
        </w:rPr>
      </w:pPr>
    </w:p>
    <w:p w:rsidR="00410B0B" w:rsidP="5383272C" w:rsidRDefault="5383272C" w14:paraId="69E658AA" w14:textId="3E0A92D6">
      <w:pPr>
        <w:pStyle w:val="Heading1"/>
        <w:spacing w:before="0"/>
        <w:rPr>
          <w:rFonts w:ascii="Times New Roman" w:hAnsi="Times New Roman" w:eastAsia="Times New Roman" w:cs="Times New Roman"/>
          <w:b/>
          <w:bCs/>
          <w:color w:val="auto"/>
          <w:sz w:val="28"/>
          <w:szCs w:val="28"/>
        </w:rPr>
      </w:pPr>
      <w:r w:rsidRPr="5383272C">
        <w:rPr>
          <w:rFonts w:ascii="Times New Roman" w:hAnsi="Times New Roman" w:eastAsia="Times New Roman" w:cs="Times New Roman"/>
          <w:b/>
          <w:bCs/>
          <w:color w:val="auto"/>
          <w:sz w:val="28"/>
          <w:szCs w:val="28"/>
        </w:rPr>
        <w:t>20.0</w:t>
      </w:r>
      <w:r w:rsidRPr="5383272C">
        <w:rPr>
          <w:rFonts w:ascii="Times New Roman" w:hAnsi="Times New Roman" w:eastAsia="Times New Roman" w:cs="Times New Roman"/>
          <w:b/>
          <w:bCs/>
          <w:color w:val="auto"/>
          <w:sz w:val="14"/>
          <w:szCs w:val="14"/>
        </w:rPr>
        <w:t xml:space="preserve">      </w:t>
      </w:r>
      <w:r w:rsidRPr="5383272C">
        <w:rPr>
          <w:rFonts w:ascii="Times New Roman" w:hAnsi="Times New Roman" w:eastAsia="Times New Roman" w:cs="Times New Roman"/>
          <w:b/>
          <w:bCs/>
          <w:color w:val="auto"/>
          <w:sz w:val="28"/>
          <w:szCs w:val="28"/>
        </w:rPr>
        <w:t>Compensation for Research-Related Injury</w:t>
      </w:r>
    </w:p>
    <w:p w:rsidR="00410B0B" w:rsidP="35A31DE5" w:rsidRDefault="5383272C" w14:paraId="66924A14" w14:textId="7F823ECB">
      <w:pPr>
        <w:spacing w:after="0"/>
        <w:rPr>
          <w:rFonts w:ascii="Times New Roman" w:hAnsi="Times New Roman" w:eastAsia="Times New Roman" w:cs="Times New Roman"/>
          <w:i w:val="1"/>
          <w:iCs w:val="1"/>
          <w:sz w:val="24"/>
          <w:szCs w:val="24"/>
        </w:rPr>
      </w:pPr>
      <w:r w:rsidRPr="35A31DE5" w:rsidR="01A8E401">
        <w:rPr>
          <w:rFonts w:ascii="Times New Roman" w:hAnsi="Times New Roman" w:eastAsia="Times New Roman" w:cs="Times New Roman"/>
          <w:i w:val="1"/>
          <w:iCs w:val="1"/>
          <w:sz w:val="24"/>
          <w:szCs w:val="24"/>
        </w:rPr>
        <w:t>NA</w:t>
      </w:r>
    </w:p>
    <w:p w:rsidR="6BF41D3A" w:rsidP="6BF41D3A" w:rsidRDefault="6BF41D3A" w14:paraId="69F840F6" w14:textId="44CD5E44">
      <w:pPr>
        <w:spacing w:after="0"/>
        <w:rPr>
          <w:rFonts w:ascii="Times New Roman" w:hAnsi="Times New Roman" w:eastAsia="Times New Roman" w:cs="Times New Roman"/>
          <w:i/>
          <w:iCs/>
          <w:sz w:val="24"/>
          <w:szCs w:val="24"/>
        </w:rPr>
      </w:pPr>
    </w:p>
    <w:p w:rsidR="00410B0B" w:rsidP="5383272C" w:rsidRDefault="5383272C" w14:paraId="43279E4A" w14:textId="101995A6">
      <w:pPr>
        <w:pStyle w:val="Heading1"/>
        <w:spacing w:before="0"/>
        <w:rPr>
          <w:rFonts w:ascii="Times New Roman" w:hAnsi="Times New Roman" w:eastAsia="Times New Roman" w:cs="Times New Roman"/>
          <w:b/>
          <w:bCs/>
          <w:color w:val="auto"/>
          <w:sz w:val="28"/>
          <w:szCs w:val="28"/>
        </w:rPr>
      </w:pPr>
      <w:r w:rsidRPr="5383272C">
        <w:rPr>
          <w:rFonts w:ascii="Times New Roman" w:hAnsi="Times New Roman" w:eastAsia="Times New Roman" w:cs="Times New Roman"/>
          <w:b/>
          <w:bCs/>
          <w:color w:val="auto"/>
          <w:sz w:val="28"/>
          <w:szCs w:val="28"/>
        </w:rPr>
        <w:t>21.0</w:t>
      </w:r>
      <w:r w:rsidRPr="5383272C">
        <w:rPr>
          <w:rFonts w:ascii="Times New Roman" w:hAnsi="Times New Roman" w:eastAsia="Times New Roman" w:cs="Times New Roman"/>
          <w:b/>
          <w:bCs/>
          <w:color w:val="auto"/>
          <w:sz w:val="14"/>
          <w:szCs w:val="14"/>
        </w:rPr>
        <w:t xml:space="preserve">      </w:t>
      </w:r>
      <w:r w:rsidRPr="5383272C">
        <w:rPr>
          <w:rFonts w:ascii="Times New Roman" w:hAnsi="Times New Roman" w:eastAsia="Times New Roman" w:cs="Times New Roman"/>
          <w:b/>
          <w:bCs/>
          <w:color w:val="auto"/>
          <w:sz w:val="28"/>
          <w:szCs w:val="28"/>
        </w:rPr>
        <w:t>Economic Burden to Subjects</w:t>
      </w:r>
    </w:p>
    <w:p w:rsidR="00410B0B" w:rsidP="35A31DE5" w:rsidRDefault="5383272C" w14:paraId="6AD5DCB7" w14:textId="425F9554">
      <w:pPr>
        <w:spacing w:after="0"/>
        <w:rPr>
          <w:rFonts w:ascii="Times New Roman" w:hAnsi="Times New Roman" w:eastAsia="Times New Roman" w:cs="Times New Roman"/>
          <w:i w:val="1"/>
          <w:iCs w:val="1"/>
          <w:sz w:val="24"/>
          <w:szCs w:val="24"/>
        </w:rPr>
      </w:pPr>
      <w:r w:rsidRPr="35A31DE5" w:rsidR="01A8E401">
        <w:rPr>
          <w:rFonts w:ascii="Times New Roman" w:hAnsi="Times New Roman" w:eastAsia="Times New Roman" w:cs="Times New Roman"/>
          <w:i w:val="1"/>
          <w:iCs w:val="1"/>
          <w:sz w:val="24"/>
          <w:szCs w:val="24"/>
        </w:rPr>
        <w:t>NA</w:t>
      </w:r>
    </w:p>
    <w:p w:rsidR="6BF41D3A" w:rsidP="6BF41D3A" w:rsidRDefault="6BF41D3A" w14:paraId="748195CD" w14:textId="2E670D99">
      <w:pPr>
        <w:spacing w:after="0"/>
        <w:rPr>
          <w:rFonts w:ascii="Times New Roman" w:hAnsi="Times New Roman" w:eastAsia="Times New Roman" w:cs="Times New Roman"/>
          <w:i/>
          <w:iCs/>
          <w:sz w:val="24"/>
          <w:szCs w:val="24"/>
        </w:rPr>
      </w:pPr>
    </w:p>
    <w:p w:rsidR="00410B0B" w:rsidP="5383272C" w:rsidRDefault="5383272C" w14:paraId="6144EBD3" w14:textId="6B2387C0">
      <w:pPr>
        <w:pStyle w:val="Heading1"/>
        <w:spacing w:before="0"/>
        <w:rPr>
          <w:rFonts w:ascii="Times New Roman" w:hAnsi="Times New Roman" w:eastAsia="Times New Roman" w:cs="Times New Roman"/>
          <w:b/>
          <w:bCs/>
          <w:color w:val="auto"/>
          <w:sz w:val="28"/>
          <w:szCs w:val="28"/>
        </w:rPr>
      </w:pPr>
      <w:r w:rsidRPr="5383272C">
        <w:rPr>
          <w:rFonts w:ascii="Times New Roman" w:hAnsi="Times New Roman" w:eastAsia="Times New Roman" w:cs="Times New Roman"/>
          <w:b/>
          <w:bCs/>
          <w:color w:val="auto"/>
          <w:sz w:val="28"/>
          <w:szCs w:val="28"/>
        </w:rPr>
        <w:t>22.0</w:t>
      </w:r>
      <w:r w:rsidRPr="5383272C">
        <w:rPr>
          <w:rFonts w:ascii="Times New Roman" w:hAnsi="Times New Roman" w:eastAsia="Times New Roman" w:cs="Times New Roman"/>
          <w:b/>
          <w:bCs/>
          <w:color w:val="auto"/>
          <w:sz w:val="14"/>
          <w:szCs w:val="14"/>
        </w:rPr>
        <w:t xml:space="preserve">      </w:t>
      </w:r>
      <w:r w:rsidRPr="5383272C">
        <w:rPr>
          <w:rFonts w:ascii="Times New Roman" w:hAnsi="Times New Roman" w:eastAsia="Times New Roman" w:cs="Times New Roman"/>
          <w:b/>
          <w:bCs/>
          <w:color w:val="auto"/>
          <w:sz w:val="28"/>
          <w:szCs w:val="28"/>
        </w:rPr>
        <w:t>Consent Process and HIPAA Authorization</w:t>
      </w:r>
    </w:p>
    <w:p w:rsidR="00410B0B" w:rsidP="35A31DE5" w:rsidRDefault="5383272C" w14:paraId="2971CD43" w14:textId="53281708">
      <w:pPr>
        <w:tabs>
          <w:tab w:val="left" w:pos="1800"/>
        </w:tabs>
        <w:spacing w:after="0"/>
        <w:rPr>
          <w:rFonts w:ascii="Times New Roman" w:hAnsi="Times New Roman" w:eastAsia="Times New Roman" w:cs="Times New Roman"/>
          <w:sz w:val="24"/>
          <w:szCs w:val="24"/>
        </w:rPr>
      </w:pPr>
      <w:r w:rsidRPr="35A31DE5" w:rsidR="01A8E401">
        <w:rPr>
          <w:rFonts w:ascii="Times New Roman" w:hAnsi="Times New Roman" w:eastAsia="Times New Roman" w:cs="Times New Roman"/>
          <w:sz w:val="24"/>
          <w:szCs w:val="24"/>
        </w:rPr>
        <w:t xml:space="preserve">This is a retrospective analysis of a large database of electronic health record data, and so the project does not involve the recruitment of participants. </w:t>
      </w:r>
    </w:p>
    <w:p w:rsidR="6BF41D3A" w:rsidP="35A31DE5" w:rsidRDefault="6BF41D3A" w14:paraId="165BFE4C" w14:textId="10FCB7C3">
      <w:pPr>
        <w:spacing w:after="0"/>
        <w:rPr>
          <w:rFonts w:ascii="Times New Roman" w:hAnsi="Times New Roman" w:eastAsia="Times New Roman" w:cs="Times New Roman"/>
          <w:color w:val="000000" w:themeColor="text1"/>
          <w:sz w:val="24"/>
          <w:szCs w:val="24"/>
          <w:lang w:val="en-GB"/>
        </w:rPr>
      </w:pPr>
    </w:p>
    <w:p w:rsidR="00410B0B" w:rsidP="35A31DE5" w:rsidRDefault="5383272C" w14:paraId="1C8ACEA1" w14:textId="4765666A">
      <w:pPr>
        <w:spacing w:after="0"/>
        <w:rPr>
          <w:rFonts w:ascii="Times New Roman" w:hAnsi="Times New Roman" w:eastAsia="Times New Roman" w:cs="Times New Roman"/>
          <w:color w:val="000000" w:themeColor="text1"/>
          <w:sz w:val="24"/>
          <w:szCs w:val="24"/>
          <w:lang w:val="en-GB"/>
        </w:rPr>
      </w:pPr>
      <w:r w:rsidRPr="35A31DE5" w:rsidR="01A8E401">
        <w:rPr>
          <w:rFonts w:ascii="Times New Roman" w:hAnsi="Times New Roman" w:eastAsia="Times New Roman" w:cs="Times New Roman"/>
          <w:color w:val="000000" w:themeColor="text1" w:themeTint="FF" w:themeShade="FF"/>
          <w:sz w:val="24"/>
          <w:szCs w:val="24"/>
          <w:lang w:val="en-GB"/>
        </w:rPr>
        <w:t>This study meets criteria for a full waiver of authorization as follows:</w:t>
      </w:r>
    </w:p>
    <w:p w:rsidR="00410B0B" w:rsidP="35A31DE5" w:rsidRDefault="5383272C" w14:paraId="04C93BB7" w14:textId="5CB2908A">
      <w:pPr>
        <w:pStyle w:val="ListParagraph"/>
        <w:numPr>
          <w:ilvl w:val="0"/>
          <w:numId w:val="6"/>
        </w:numPr>
        <w:spacing w:after="0"/>
        <w:rPr>
          <w:rFonts w:ascii="Times New Roman" w:hAnsi="Times New Roman" w:eastAsia="Times New Roman" w:cs="Times New Roman"/>
          <w:b w:val="1"/>
          <w:bCs w:val="1"/>
          <w:sz w:val="24"/>
          <w:szCs w:val="24"/>
          <w:lang w:val="en-GB"/>
        </w:rPr>
      </w:pPr>
      <w:r w:rsidRPr="35A31DE5" w:rsidR="01A8E401">
        <w:rPr>
          <w:rFonts w:ascii="Times New Roman" w:hAnsi="Times New Roman" w:eastAsia="Times New Roman" w:cs="Times New Roman"/>
          <w:b w:val="1"/>
          <w:bCs w:val="1"/>
          <w:sz w:val="24"/>
          <w:szCs w:val="24"/>
          <w:lang w:val="en-GB"/>
        </w:rPr>
        <w:t>The use or disclosure of protected health information involves no more than a minimal risk to the privacy of individuals, based on, at least, the presence of the following elements:</w:t>
      </w:r>
    </w:p>
    <w:p w:rsidR="00410B0B" w:rsidP="35A31DE5" w:rsidRDefault="5383272C" w14:paraId="1822657B" w14:textId="6EEF5D9C">
      <w:pPr>
        <w:spacing w:after="0"/>
        <w:rPr>
          <w:rFonts w:ascii="Times New Roman" w:hAnsi="Times New Roman" w:eastAsia="Times New Roman" w:cs="Times New Roman"/>
          <w:color w:val="000000" w:themeColor="text1"/>
          <w:sz w:val="24"/>
          <w:szCs w:val="24"/>
        </w:rPr>
      </w:pPr>
      <w:r w:rsidRPr="35A31DE5" w:rsidR="01A8E401">
        <w:rPr>
          <w:rFonts w:ascii="Times New Roman" w:hAnsi="Times New Roman" w:eastAsia="Times New Roman" w:cs="Times New Roman"/>
          <w:color w:val="000000" w:themeColor="text1" w:themeTint="FF" w:themeShade="FF"/>
          <w:sz w:val="24"/>
          <w:szCs w:val="24"/>
        </w:rPr>
        <w:t xml:space="preserve">This study involves no more than minimal risk to the subjects. The EHR data that will be used in this study exists prior to its inclusion for analysis, and subjects will not be exposed to a study intervention. Therefore, the risks of this study involve only a risk of a confidentiality breach. Strict data management and confidentiality procedures will be followed, as described in 17.0, to safeguard subjects. </w:t>
      </w:r>
    </w:p>
    <w:p w:rsidR="00410B0B" w:rsidP="35A31DE5" w:rsidRDefault="5383272C" w14:paraId="46FE4DE4" w14:textId="7F5C48EC">
      <w:pPr>
        <w:pStyle w:val="ListParagraph"/>
        <w:numPr>
          <w:ilvl w:val="0"/>
          <w:numId w:val="6"/>
        </w:numPr>
        <w:spacing w:after="0"/>
        <w:rPr>
          <w:rFonts w:ascii="Times New Roman" w:hAnsi="Times New Roman" w:eastAsia="Times New Roman" w:cs="Times New Roman"/>
          <w:b w:val="1"/>
          <w:bCs w:val="1"/>
          <w:sz w:val="24"/>
          <w:szCs w:val="24"/>
          <w:lang w:val="en-GB"/>
        </w:rPr>
      </w:pPr>
      <w:r w:rsidRPr="35A31DE5" w:rsidR="01A8E401">
        <w:rPr>
          <w:rFonts w:ascii="Times New Roman" w:hAnsi="Times New Roman" w:eastAsia="Times New Roman" w:cs="Times New Roman"/>
          <w:b w:val="1"/>
          <w:bCs w:val="1"/>
          <w:sz w:val="24"/>
          <w:szCs w:val="24"/>
          <w:lang w:val="en-GB"/>
        </w:rPr>
        <w:t>The research could not practicably be conducted without the waiver or alteration; and</w:t>
      </w:r>
    </w:p>
    <w:p w:rsidR="00410B0B" w:rsidP="35A31DE5" w:rsidRDefault="5383272C" w14:paraId="3DB0E3E7" w14:textId="50F41F79">
      <w:pPr>
        <w:spacing w:after="0"/>
        <w:rPr>
          <w:rFonts w:ascii="Times New Roman" w:hAnsi="Times New Roman" w:eastAsia="Times New Roman" w:cs="Times New Roman"/>
          <w:color w:val="000000" w:themeColor="text1"/>
          <w:sz w:val="24"/>
          <w:szCs w:val="24"/>
          <w:lang w:val="en-GB"/>
        </w:rPr>
      </w:pPr>
      <w:r w:rsidRPr="35A31DE5" w:rsidR="01A8E401">
        <w:rPr>
          <w:rFonts w:ascii="Times New Roman" w:hAnsi="Times New Roman" w:eastAsia="Times New Roman" w:cs="Times New Roman"/>
          <w:color w:val="000000" w:themeColor="text1" w:themeTint="FF" w:themeShade="FF"/>
          <w:sz w:val="24"/>
          <w:szCs w:val="24"/>
        </w:rPr>
        <w:t>This study relies upon a large database of EHR encounter-level data to evaluate racial and/or ethnic disparities in the timeliness of the first outpatient encounter in patients with newly diagnosed CKD. The estimated dataset size is 200,000 MedStar ambulatory Stage 3 or Stage 4 CKD patients from</w:t>
      </w:r>
      <w:r w:rsidRPr="35A31DE5" w:rsidR="54809E90">
        <w:rPr>
          <w:rFonts w:ascii="Times New Roman" w:hAnsi="Times New Roman" w:eastAsia="Times New Roman" w:cs="Times New Roman"/>
          <w:color w:val="000000" w:themeColor="text1" w:themeTint="FF" w:themeShade="FF"/>
          <w:sz w:val="24"/>
          <w:szCs w:val="24"/>
        </w:rPr>
        <w:t xml:space="preserve"> </w:t>
      </w:r>
      <w:r w:rsidRPr="35A31DE5" w:rsidR="01A8E401">
        <w:rPr>
          <w:rFonts w:ascii="Times New Roman" w:hAnsi="Times New Roman" w:eastAsia="Times New Roman" w:cs="Times New Roman"/>
          <w:sz w:val="24"/>
          <w:szCs w:val="24"/>
        </w:rPr>
        <w:t>January 1, 2017 to May 31, 2022</w:t>
      </w:r>
      <w:r w:rsidRPr="35A31DE5" w:rsidR="54809E90">
        <w:rPr>
          <w:rFonts w:ascii="Times New Roman" w:hAnsi="Times New Roman" w:eastAsia="Times New Roman" w:cs="Times New Roman"/>
          <w:color w:val="000000" w:themeColor="text1" w:themeTint="FF" w:themeShade="FF"/>
          <w:sz w:val="24"/>
          <w:szCs w:val="24"/>
          <w:lang w:val="en-GB"/>
        </w:rPr>
        <w:t xml:space="preserve"> </w:t>
      </w:r>
      <w:r w:rsidRPr="35A31DE5" w:rsidR="01A8E401">
        <w:rPr>
          <w:rFonts w:ascii="Times New Roman" w:hAnsi="Times New Roman" w:eastAsia="Times New Roman" w:cs="Times New Roman"/>
          <w:color w:val="000000" w:themeColor="text1" w:themeTint="FF" w:themeShade="FF"/>
          <w:sz w:val="24"/>
          <w:szCs w:val="24"/>
          <w:lang w:val="en-GB"/>
        </w:rPr>
        <w:t xml:space="preserve">and </w:t>
      </w:r>
      <w:proofErr w:type="gramStart"/>
      <w:r w:rsidRPr="35A31DE5" w:rsidR="01A8E401">
        <w:rPr>
          <w:rFonts w:ascii="Times New Roman" w:hAnsi="Times New Roman" w:eastAsia="Times New Roman" w:cs="Times New Roman"/>
          <w:color w:val="000000" w:themeColor="text1" w:themeTint="FF" w:themeShade="FF"/>
          <w:sz w:val="24"/>
          <w:szCs w:val="24"/>
          <w:lang w:val="en-GB"/>
        </w:rPr>
        <w:t>so</w:t>
      </w:r>
      <w:proofErr w:type="gramEnd"/>
      <w:r w:rsidRPr="35A31DE5" w:rsidR="01A8E401">
        <w:rPr>
          <w:rFonts w:ascii="Times New Roman" w:hAnsi="Times New Roman" w:eastAsia="Times New Roman" w:cs="Times New Roman"/>
          <w:color w:val="000000" w:themeColor="text1" w:themeTint="FF" w:themeShade="FF"/>
          <w:sz w:val="24"/>
          <w:szCs w:val="24"/>
          <w:lang w:val="en-GB"/>
        </w:rPr>
        <w:t xml:space="preserve"> it would be impractical to obtain consent for each subject included in the study dataset. Additionally, the study dataset will not include any patient contact information, with PHI limited to FIN/MRN account numbers to support data linkage for database construction, patient residential address to support linkage of area deprivation index data from the publicly available American Community Survey, and encounter dates to compose the timeliness of nephrology care variables. All PHI data elements will be destroyed from the study dataset at the earliest opportunity after linkage procedures have been completed. </w:t>
      </w:r>
    </w:p>
    <w:p w:rsidR="00410B0B" w:rsidP="35A31DE5" w:rsidRDefault="5383272C" w14:paraId="1609BC41" w14:textId="123940E1">
      <w:pPr>
        <w:pStyle w:val="ListParagraph"/>
        <w:numPr>
          <w:ilvl w:val="0"/>
          <w:numId w:val="6"/>
        </w:numPr>
        <w:spacing w:after="0"/>
        <w:rPr>
          <w:rFonts w:ascii="Times New Roman" w:hAnsi="Times New Roman" w:eastAsia="Times New Roman" w:cs="Times New Roman"/>
          <w:b w:val="1"/>
          <w:bCs w:val="1"/>
          <w:sz w:val="24"/>
          <w:szCs w:val="24"/>
          <w:lang w:val="en-GB"/>
        </w:rPr>
      </w:pPr>
      <w:r w:rsidRPr="35A31DE5" w:rsidR="01A8E401">
        <w:rPr>
          <w:rFonts w:ascii="Times New Roman" w:hAnsi="Times New Roman" w:eastAsia="Times New Roman" w:cs="Times New Roman"/>
          <w:b w:val="1"/>
          <w:bCs w:val="1"/>
          <w:sz w:val="24"/>
          <w:szCs w:val="24"/>
          <w:lang w:val="en-GB"/>
        </w:rPr>
        <w:t>The research could not practicably be conducted without access to and use of the protected health information.</w:t>
      </w:r>
    </w:p>
    <w:p w:rsidR="00410B0B" w:rsidP="35A31DE5" w:rsidRDefault="5383272C" w14:paraId="50DF2777" w14:textId="09C3428B">
      <w:pPr>
        <w:spacing w:after="0"/>
        <w:rPr>
          <w:rFonts w:ascii="Times New Roman" w:hAnsi="Times New Roman" w:eastAsia="Times New Roman" w:cs="Times New Roman"/>
          <w:b w:val="1"/>
          <w:bCs w:val="1"/>
          <w:sz w:val="20"/>
          <w:szCs w:val="20"/>
          <w:lang w:val="en-GB"/>
        </w:rPr>
      </w:pPr>
      <w:r w:rsidRPr="35A31DE5" w:rsidR="01A8E401">
        <w:rPr>
          <w:rFonts w:ascii="Times New Roman" w:hAnsi="Times New Roman" w:eastAsia="Times New Roman" w:cs="Times New Roman"/>
          <w:color w:val="000000" w:themeColor="text1" w:themeTint="FF" w:themeShade="FF"/>
          <w:sz w:val="24"/>
          <w:szCs w:val="24"/>
          <w:lang w:val="en-GB"/>
        </w:rPr>
        <w:t xml:space="preserve">Patient-level residential addresses will be needed to link area deprivation index and other neighbourhood characteristics that represent socioeconomic factors that may be associated with observed disparities and are required elements for the statistical analysis. Additionally, FIN and MRN will be needed to link data elements on the encounter and patient level, respectively, across data sources to create the analytic dataset. Encounter dates will be needed to calculate the timeliness of nephrology care measure. </w:t>
      </w:r>
      <w:r>
        <w:br/>
      </w:r>
    </w:p>
    <w:p w:rsidR="00410B0B" w:rsidP="5383272C" w:rsidRDefault="5383272C" w14:paraId="2A6E5252" w14:textId="474E4639">
      <w:pPr>
        <w:pStyle w:val="Heading1"/>
        <w:spacing w:before="0"/>
        <w:rPr>
          <w:rFonts w:ascii="Times New Roman" w:hAnsi="Times New Roman" w:eastAsia="Times New Roman" w:cs="Times New Roman"/>
          <w:b/>
          <w:bCs/>
          <w:color w:val="auto"/>
          <w:sz w:val="28"/>
          <w:szCs w:val="28"/>
        </w:rPr>
      </w:pPr>
      <w:r w:rsidRPr="5383272C">
        <w:rPr>
          <w:rFonts w:ascii="Times New Roman" w:hAnsi="Times New Roman" w:eastAsia="Times New Roman" w:cs="Times New Roman"/>
          <w:b/>
          <w:bCs/>
          <w:color w:val="auto"/>
          <w:sz w:val="28"/>
          <w:szCs w:val="28"/>
        </w:rPr>
        <w:t>23.0</w:t>
      </w:r>
      <w:r w:rsidRPr="5383272C">
        <w:rPr>
          <w:rFonts w:ascii="Times New Roman" w:hAnsi="Times New Roman" w:eastAsia="Times New Roman" w:cs="Times New Roman"/>
          <w:b/>
          <w:bCs/>
          <w:color w:val="auto"/>
          <w:sz w:val="14"/>
          <w:szCs w:val="14"/>
        </w:rPr>
        <w:t xml:space="preserve">      </w:t>
      </w:r>
      <w:r w:rsidRPr="5383272C">
        <w:rPr>
          <w:rFonts w:ascii="Times New Roman" w:hAnsi="Times New Roman" w:eastAsia="Times New Roman" w:cs="Times New Roman"/>
          <w:b/>
          <w:bCs/>
          <w:color w:val="auto"/>
          <w:sz w:val="28"/>
          <w:szCs w:val="28"/>
        </w:rPr>
        <w:t>Process to Document Consent in Writing</w:t>
      </w:r>
    </w:p>
    <w:p w:rsidR="00410B0B" w:rsidP="35A31DE5" w:rsidRDefault="5383272C" w14:paraId="479921DE" w14:textId="2CD8FB99">
      <w:pPr>
        <w:spacing w:after="0"/>
        <w:rPr>
          <w:rFonts w:ascii="Times New Roman" w:hAnsi="Times New Roman" w:eastAsia="Times New Roman" w:cs="Times New Roman"/>
          <w:i w:val="1"/>
          <w:iCs w:val="1"/>
          <w:sz w:val="24"/>
          <w:szCs w:val="24"/>
        </w:rPr>
      </w:pPr>
      <w:r w:rsidRPr="35A31DE5" w:rsidR="01A8E401">
        <w:rPr>
          <w:rFonts w:ascii="Times New Roman" w:hAnsi="Times New Roman" w:eastAsia="Times New Roman" w:cs="Times New Roman"/>
          <w:i w:val="1"/>
          <w:iCs w:val="1"/>
          <w:sz w:val="24"/>
          <w:szCs w:val="24"/>
        </w:rPr>
        <w:t>NA</w:t>
      </w:r>
    </w:p>
    <w:p w:rsidR="35A31DE5" w:rsidP="35A31DE5" w:rsidRDefault="35A31DE5" w14:paraId="5E53F939" w14:textId="79BF936F">
      <w:pPr>
        <w:pStyle w:val="Normal"/>
        <w:spacing w:after="0"/>
        <w:rPr>
          <w:rFonts w:ascii="Times New Roman" w:hAnsi="Times New Roman" w:eastAsia="Times New Roman" w:cs="Times New Roman"/>
          <w:i w:val="1"/>
          <w:iCs w:val="1"/>
          <w:sz w:val="24"/>
          <w:szCs w:val="24"/>
        </w:rPr>
      </w:pPr>
    </w:p>
    <w:p w:rsidR="00410B0B" w:rsidP="5383272C" w:rsidRDefault="5383272C" w14:paraId="501C1795" w14:textId="64BF2957">
      <w:pPr>
        <w:pStyle w:val="Heading1"/>
        <w:spacing w:before="0"/>
        <w:rPr>
          <w:rFonts w:ascii="Times New Roman" w:hAnsi="Times New Roman" w:eastAsia="Times New Roman" w:cs="Times New Roman"/>
          <w:b/>
          <w:bCs/>
          <w:color w:val="auto"/>
          <w:sz w:val="28"/>
          <w:szCs w:val="28"/>
        </w:rPr>
      </w:pPr>
      <w:r w:rsidRPr="5383272C">
        <w:rPr>
          <w:rFonts w:ascii="Times New Roman" w:hAnsi="Times New Roman" w:eastAsia="Times New Roman" w:cs="Times New Roman"/>
          <w:b/>
          <w:bCs/>
          <w:color w:val="auto"/>
          <w:sz w:val="28"/>
          <w:szCs w:val="28"/>
        </w:rPr>
        <w:t>24.0</w:t>
      </w:r>
      <w:r w:rsidRPr="5383272C">
        <w:rPr>
          <w:rFonts w:ascii="Times New Roman" w:hAnsi="Times New Roman" w:eastAsia="Times New Roman" w:cs="Times New Roman"/>
          <w:b/>
          <w:bCs/>
          <w:color w:val="auto"/>
          <w:sz w:val="14"/>
          <w:szCs w:val="14"/>
        </w:rPr>
        <w:t xml:space="preserve">      </w:t>
      </w:r>
      <w:r w:rsidRPr="5383272C">
        <w:rPr>
          <w:rFonts w:ascii="Times New Roman" w:hAnsi="Times New Roman" w:eastAsia="Times New Roman" w:cs="Times New Roman"/>
          <w:b/>
          <w:bCs/>
          <w:color w:val="auto"/>
          <w:sz w:val="28"/>
          <w:szCs w:val="28"/>
        </w:rPr>
        <w:t>Setting</w:t>
      </w:r>
    </w:p>
    <w:p w:rsidR="00410B0B" w:rsidP="35A31DE5" w:rsidRDefault="5383272C" w14:paraId="1A70A4DD" w14:textId="3FDDB18C">
      <w:pPr>
        <w:tabs>
          <w:tab w:val="left" w:pos="2340"/>
        </w:tabs>
        <w:spacing w:after="0"/>
        <w:ind w:left="360" w:hanging="360"/>
        <w:rPr>
          <w:rFonts w:ascii="Times New Roman" w:hAnsi="Times New Roman" w:eastAsia="Times New Roman" w:cs="Times New Roman"/>
          <w:i w:val="1"/>
          <w:iCs w:val="1"/>
          <w:sz w:val="24"/>
          <w:szCs w:val="24"/>
        </w:rPr>
      </w:pPr>
      <w:r w:rsidRPr="35A31DE5" w:rsidR="01A8E401">
        <w:rPr>
          <w:rFonts w:ascii="Times New Roman" w:hAnsi="Times New Roman" w:eastAsia="Times New Roman" w:cs="Times New Roman"/>
          <w:i w:val="1"/>
          <w:iCs w:val="1"/>
          <w:sz w:val="24"/>
          <w:szCs w:val="24"/>
        </w:rPr>
        <w:t>MedStar Health Research Institute and MedStar Health Quality &amp; Safety</w:t>
      </w:r>
    </w:p>
    <w:p w:rsidR="00410B0B" w:rsidP="5383272C" w:rsidRDefault="00410B0B" w14:paraId="4CE9ABC4" w14:textId="26B10397">
      <w:pPr>
        <w:tabs>
          <w:tab w:val="left" w:pos="2340"/>
        </w:tabs>
        <w:spacing w:after="0"/>
        <w:ind w:left="360" w:hanging="360"/>
        <w:rPr>
          <w:rFonts w:ascii="Times New Roman" w:hAnsi="Times New Roman" w:eastAsia="Times New Roman" w:cs="Times New Roman"/>
          <w:i/>
          <w:iCs/>
          <w:sz w:val="24"/>
          <w:szCs w:val="24"/>
        </w:rPr>
      </w:pPr>
    </w:p>
    <w:p w:rsidR="00410B0B" w:rsidP="5383272C" w:rsidRDefault="5383272C" w14:paraId="11442FAB" w14:textId="7FCF9EB3">
      <w:pPr>
        <w:pStyle w:val="Heading1"/>
        <w:spacing w:before="0"/>
        <w:rPr>
          <w:rFonts w:ascii="Times New Roman" w:hAnsi="Times New Roman" w:eastAsia="Times New Roman" w:cs="Times New Roman"/>
          <w:b w:val="1"/>
          <w:bCs w:val="1"/>
          <w:color w:val="auto"/>
          <w:sz w:val="28"/>
          <w:szCs w:val="28"/>
        </w:rPr>
      </w:pPr>
      <w:r w:rsidRPr="35A31DE5" w:rsidR="01A8E401">
        <w:rPr>
          <w:rFonts w:ascii="Times New Roman" w:hAnsi="Times New Roman" w:eastAsia="Times New Roman" w:cs="Times New Roman"/>
          <w:b w:val="1"/>
          <w:bCs w:val="1"/>
          <w:color w:val="auto"/>
          <w:sz w:val="28"/>
          <w:szCs w:val="28"/>
        </w:rPr>
        <w:t>25.0</w:t>
      </w:r>
      <w:r w:rsidRPr="35A31DE5" w:rsidR="01A8E401">
        <w:rPr>
          <w:rFonts w:ascii="Times New Roman" w:hAnsi="Times New Roman" w:eastAsia="Times New Roman" w:cs="Times New Roman"/>
          <w:b w:val="1"/>
          <w:bCs w:val="1"/>
          <w:color w:val="auto"/>
          <w:sz w:val="14"/>
          <w:szCs w:val="14"/>
        </w:rPr>
        <w:t xml:space="preserve">      </w:t>
      </w:r>
      <w:r w:rsidRPr="35A31DE5" w:rsidR="01A8E401">
        <w:rPr>
          <w:rFonts w:ascii="Times New Roman" w:hAnsi="Times New Roman" w:eastAsia="Times New Roman" w:cs="Times New Roman"/>
          <w:b w:val="1"/>
          <w:bCs w:val="1"/>
          <w:color w:val="auto"/>
          <w:sz w:val="28"/>
          <w:szCs w:val="28"/>
        </w:rPr>
        <w:t>Resources Available</w:t>
      </w:r>
    </w:p>
    <w:p w:rsidR="00410B0B" w:rsidP="35A31DE5" w:rsidRDefault="5383272C" w14:paraId="3796F332" w14:textId="215EB018">
      <w:pPr>
        <w:rPr>
          <w:rFonts w:ascii="Times New Roman" w:hAnsi="Times New Roman" w:eastAsia="Times New Roman" w:cs="Times New Roman"/>
          <w:i w:val="1"/>
          <w:iCs w:val="1"/>
          <w:sz w:val="24"/>
          <w:szCs w:val="24"/>
        </w:rPr>
      </w:pPr>
      <w:r w:rsidRPr="35A31DE5" w:rsidR="01A8E401">
        <w:rPr>
          <w:rFonts w:ascii="Times New Roman" w:hAnsi="Times New Roman" w:eastAsia="Times New Roman" w:cs="Times New Roman"/>
          <w:i w:val="1"/>
          <w:iCs w:val="1"/>
          <w:sz w:val="24"/>
          <w:szCs w:val="24"/>
        </w:rPr>
        <w:t>NA</w:t>
      </w:r>
    </w:p>
    <w:p w:rsidR="00410B0B" w:rsidP="5383272C" w:rsidRDefault="5383272C" w14:paraId="3135F7F8" w14:textId="7122B261">
      <w:pPr>
        <w:pStyle w:val="Heading1"/>
        <w:spacing w:before="0"/>
        <w:rPr>
          <w:rFonts w:ascii="Times New Roman" w:hAnsi="Times New Roman" w:eastAsia="Times New Roman" w:cs="Times New Roman"/>
          <w:b/>
          <w:bCs/>
          <w:color w:val="auto"/>
          <w:sz w:val="28"/>
          <w:szCs w:val="28"/>
        </w:rPr>
      </w:pPr>
      <w:r w:rsidRPr="5383272C">
        <w:rPr>
          <w:rFonts w:ascii="Times New Roman" w:hAnsi="Times New Roman" w:eastAsia="Times New Roman" w:cs="Times New Roman"/>
          <w:b/>
          <w:bCs/>
          <w:color w:val="auto"/>
          <w:sz w:val="28"/>
          <w:szCs w:val="28"/>
        </w:rPr>
        <w:t>26.0</w:t>
      </w:r>
      <w:r w:rsidRPr="5383272C">
        <w:rPr>
          <w:rFonts w:ascii="Times New Roman" w:hAnsi="Times New Roman" w:eastAsia="Times New Roman" w:cs="Times New Roman"/>
          <w:b/>
          <w:bCs/>
          <w:color w:val="auto"/>
          <w:sz w:val="14"/>
          <w:szCs w:val="14"/>
        </w:rPr>
        <w:t xml:space="preserve">      </w:t>
      </w:r>
      <w:r w:rsidRPr="5383272C">
        <w:rPr>
          <w:rFonts w:ascii="Times New Roman" w:hAnsi="Times New Roman" w:eastAsia="Times New Roman" w:cs="Times New Roman"/>
          <w:b/>
          <w:bCs/>
          <w:color w:val="auto"/>
          <w:sz w:val="28"/>
          <w:szCs w:val="28"/>
        </w:rPr>
        <w:t>Multi-Site Research*</w:t>
      </w:r>
    </w:p>
    <w:p w:rsidR="00410B0B" w:rsidP="35A31DE5" w:rsidRDefault="5383272C" w14:paraId="191E95A4" w14:textId="60263773">
      <w:pPr>
        <w:rPr>
          <w:rFonts w:ascii="Times New Roman" w:hAnsi="Times New Roman" w:eastAsia="Times New Roman" w:cs="Times New Roman"/>
          <w:color w:val="000000" w:themeColor="text1"/>
          <w:sz w:val="24"/>
          <w:szCs w:val="24"/>
        </w:rPr>
      </w:pPr>
      <w:r w:rsidRPr="35A31DE5" w:rsidR="01A8E401">
        <w:rPr>
          <w:rFonts w:ascii="Times New Roman" w:hAnsi="Times New Roman" w:eastAsia="Times New Roman" w:cs="Times New Roman"/>
          <w:i w:val="1"/>
          <w:iCs w:val="1"/>
          <w:color w:val="000000" w:themeColor="text1" w:themeTint="FF" w:themeShade="FF"/>
          <w:sz w:val="24"/>
          <w:szCs w:val="24"/>
        </w:rPr>
        <w:t>NA</w:t>
      </w:r>
    </w:p>
    <w:p w:rsidR="00410B0B" w:rsidP="5383272C" w:rsidRDefault="00410B0B" w14:paraId="7E9BBFBA" w14:textId="0B29828F">
      <w:pPr>
        <w:spacing w:after="0"/>
        <w:rPr>
          <w:rFonts w:ascii="Calibri" w:hAnsi="Calibri" w:eastAsia="Calibri" w:cs="Calibri"/>
        </w:rPr>
      </w:pPr>
    </w:p>
    <w:p w:rsidR="00410B0B" w:rsidP="5383272C" w:rsidRDefault="5383272C" w14:paraId="7E272FB9" w14:textId="6CF78D05">
      <w:pPr>
        <w:spacing w:after="0"/>
      </w:pPr>
      <w:r w:rsidRPr="5383272C">
        <w:rPr>
          <w:rFonts w:ascii="Times New Roman" w:hAnsi="Times New Roman" w:eastAsia="Times New Roman" w:cs="Times New Roman"/>
          <w:i/>
          <w:iCs/>
          <w:sz w:val="24"/>
          <w:szCs w:val="24"/>
        </w:rPr>
        <w:t xml:space="preserve"> </w:t>
      </w:r>
    </w:p>
    <w:p w:rsidR="00410B0B" w:rsidP="5383272C" w:rsidRDefault="5383272C" w14:paraId="7A6A721B" w14:textId="0B102F08">
      <w:pPr>
        <w:spacing w:after="0"/>
        <w:rPr>
          <w:rFonts w:ascii="Times New Roman" w:hAnsi="Times New Roman" w:eastAsia="Times New Roman" w:cs="Times New Roman"/>
          <w:b w:val="1"/>
          <w:bCs w:val="1"/>
          <w:sz w:val="24"/>
          <w:szCs w:val="24"/>
        </w:rPr>
      </w:pPr>
      <w:r w:rsidRPr="35A31DE5" w:rsidR="01A8E401">
        <w:rPr>
          <w:rFonts w:ascii="Times New Roman" w:hAnsi="Times New Roman" w:eastAsia="Times New Roman" w:cs="Times New Roman"/>
          <w:b w:val="1"/>
          <w:bCs w:val="1"/>
          <w:sz w:val="24"/>
          <w:szCs w:val="24"/>
        </w:rPr>
        <w:t>REFERENCES</w:t>
      </w:r>
    </w:p>
    <w:p w:rsidR="00410B0B" w:rsidP="5383272C" w:rsidRDefault="5383272C" w14:paraId="323A13EF" w14:textId="0CEE8339">
      <w:pPr>
        <w:spacing w:after="0"/>
        <w:rPr>
          <w:rFonts w:ascii="Times New Roman" w:hAnsi="Times New Roman" w:eastAsia="Times New Roman" w:cs="Times New Roman"/>
          <w:sz w:val="24"/>
          <w:szCs w:val="24"/>
        </w:rPr>
      </w:pPr>
      <w:r w:rsidRPr="00335132">
        <w:rPr>
          <w:rFonts w:ascii="Times New Roman" w:hAnsi="Times New Roman" w:eastAsia="Times New Roman" w:cs="Times New Roman"/>
          <w:sz w:val="24"/>
          <w:szCs w:val="24"/>
        </w:rPr>
        <w:t xml:space="preserve"> </w:t>
      </w:r>
    </w:p>
    <w:p w:rsidR="00410B0B" w:rsidP="35A31DE5" w:rsidRDefault="5383272C" w14:paraId="164F544C" w14:textId="1800C4E8">
      <w:pPr>
        <w:rPr>
          <w:rFonts w:ascii="Times New Roman" w:hAnsi="Times New Roman" w:eastAsia="Times New Roman" w:cs="Times New Roman"/>
          <w:sz w:val="24"/>
          <w:szCs w:val="24"/>
        </w:rPr>
      </w:pPr>
      <w:r w:rsidRPr="35A31DE5" w:rsidR="01A8E401">
        <w:rPr>
          <w:rFonts w:ascii="Times New Roman" w:hAnsi="Times New Roman" w:eastAsia="Times New Roman" w:cs="Times New Roman"/>
          <w:color w:val="000000" w:themeColor="text1" w:themeTint="FF" w:themeShade="FF"/>
          <w:sz w:val="24"/>
          <w:szCs w:val="24"/>
        </w:rPr>
        <w:t>1</w:t>
      </w:r>
      <w:r w:rsidRPr="35A31DE5" w:rsidR="01A8E401">
        <w:rPr>
          <w:rFonts w:ascii="Times New Roman" w:hAnsi="Times New Roman" w:eastAsia="Times New Roman" w:cs="Times New Roman"/>
          <w:sz w:val="24"/>
          <w:szCs w:val="24"/>
        </w:rPr>
        <w:t xml:space="preserve">. </w:t>
      </w:r>
      <w:proofErr w:type="spellStart"/>
      <w:r w:rsidRPr="35A31DE5" w:rsidR="01A8E401">
        <w:rPr>
          <w:rFonts w:ascii="Times New Roman" w:hAnsi="Times New Roman" w:eastAsia="Times New Roman" w:cs="Times New Roman"/>
          <w:sz w:val="24"/>
          <w:szCs w:val="24"/>
        </w:rPr>
        <w:t>Ozieh</w:t>
      </w:r>
      <w:proofErr w:type="spellEnd"/>
      <w:r w:rsidRPr="35A31DE5" w:rsidR="01A8E401">
        <w:rPr>
          <w:rFonts w:ascii="Times New Roman" w:hAnsi="Times New Roman" w:eastAsia="Times New Roman" w:cs="Times New Roman"/>
          <w:sz w:val="24"/>
          <w:szCs w:val="24"/>
        </w:rPr>
        <w:t xml:space="preserve"> MN, Bishu KG, Dismuke CE, Egede LE. Trends in healthcare expenditure in united states adults with chronic kidney disease: 2002–2011. </w:t>
      </w:r>
      <w:r w:rsidRPr="35A31DE5" w:rsidR="01A8E401">
        <w:rPr>
          <w:rFonts w:ascii="Times New Roman" w:hAnsi="Times New Roman" w:eastAsia="Times New Roman" w:cs="Times New Roman"/>
          <w:i w:val="1"/>
          <w:iCs w:val="1"/>
          <w:sz w:val="24"/>
          <w:szCs w:val="24"/>
        </w:rPr>
        <w:t>BMC Health Serv Res</w:t>
      </w:r>
      <w:r w:rsidRPr="35A31DE5" w:rsidR="01A8E401">
        <w:rPr>
          <w:rFonts w:ascii="Times New Roman" w:hAnsi="Times New Roman" w:eastAsia="Times New Roman" w:cs="Times New Roman"/>
          <w:sz w:val="24"/>
          <w:szCs w:val="24"/>
        </w:rPr>
        <w:t xml:space="preserve">. 2017;17(1). </w:t>
      </w:r>
      <w:proofErr w:type="spellStart"/>
      <w:r w:rsidRPr="35A31DE5" w:rsidR="01A8E401">
        <w:rPr>
          <w:rFonts w:ascii="Times New Roman" w:hAnsi="Times New Roman" w:eastAsia="Times New Roman" w:cs="Times New Roman"/>
          <w:sz w:val="24"/>
          <w:szCs w:val="24"/>
        </w:rPr>
        <w:t>doi</w:t>
      </w:r>
      <w:proofErr w:type="spellEnd"/>
      <w:r w:rsidRPr="35A31DE5" w:rsidR="01A8E401">
        <w:rPr>
          <w:rFonts w:ascii="Times New Roman" w:hAnsi="Times New Roman" w:eastAsia="Times New Roman" w:cs="Times New Roman"/>
          <w:sz w:val="24"/>
          <w:szCs w:val="24"/>
        </w:rPr>
        <w:t>: 10.1186/s12913-017-2303-3.</w:t>
      </w:r>
    </w:p>
    <w:p w:rsidR="00410B0B" w:rsidP="35A31DE5" w:rsidRDefault="5383272C" w14:paraId="01D08BA7" w14:textId="603973F4">
      <w:pPr>
        <w:rPr>
          <w:rFonts w:ascii="Times New Roman" w:hAnsi="Times New Roman" w:eastAsia="Times New Roman" w:cs="Times New Roman"/>
          <w:sz w:val="24"/>
          <w:szCs w:val="24"/>
        </w:rPr>
      </w:pPr>
      <w:r w:rsidRPr="35A31DE5" w:rsidR="01A8E401">
        <w:rPr>
          <w:rFonts w:ascii="Times New Roman" w:hAnsi="Times New Roman" w:eastAsia="Times New Roman" w:cs="Times New Roman"/>
          <w:sz w:val="24"/>
          <w:szCs w:val="24"/>
        </w:rPr>
        <w:t xml:space="preserve">2. Chan, Micah R., MD, MPH, Dall AT, MD, Fletcher, Kathlyn E., MD, MA, Lu N, PhD, Trivedi H, MD. Outcomes in patients with chronic kidney disease referred late to nephrologists: A meta-analysis. </w:t>
      </w:r>
      <w:r w:rsidRPr="35A31DE5" w:rsidR="01A8E401">
        <w:rPr>
          <w:rFonts w:ascii="Times New Roman" w:hAnsi="Times New Roman" w:eastAsia="Times New Roman" w:cs="Times New Roman"/>
          <w:i w:val="1"/>
          <w:iCs w:val="1"/>
          <w:sz w:val="24"/>
          <w:szCs w:val="24"/>
        </w:rPr>
        <w:t>The American journal of medicine</w:t>
      </w:r>
      <w:r w:rsidRPr="35A31DE5" w:rsidR="01A8E401">
        <w:rPr>
          <w:rFonts w:ascii="Times New Roman" w:hAnsi="Times New Roman" w:eastAsia="Times New Roman" w:cs="Times New Roman"/>
          <w:sz w:val="24"/>
          <w:szCs w:val="24"/>
        </w:rPr>
        <w:t xml:space="preserve">. 2007;120(12):1063-1070.e2. </w:t>
      </w:r>
      <w:hyperlink r:id="Rbf0185e2ab904d7f">
        <w:r w:rsidRPr="35A31DE5" w:rsidR="01A8E401">
          <w:rPr>
            <w:rStyle w:val="Hyperlink"/>
            <w:rFonts w:ascii="Times New Roman" w:hAnsi="Times New Roman" w:eastAsia="Times New Roman" w:cs="Times New Roman"/>
            <w:color w:val="auto"/>
            <w:sz w:val="24"/>
            <w:szCs w:val="24"/>
          </w:rPr>
          <w:t>https://www.clinicalkey.es/playcontent/1-s2.0-S000293430700664X</w:t>
        </w:r>
      </w:hyperlink>
      <w:r w:rsidRPr="35A31DE5" w:rsidR="01A8E401">
        <w:rPr>
          <w:rFonts w:ascii="Times New Roman" w:hAnsi="Times New Roman" w:eastAsia="Times New Roman" w:cs="Times New Roman"/>
          <w:sz w:val="24"/>
          <w:szCs w:val="24"/>
        </w:rPr>
        <w:t xml:space="preserve">. </w:t>
      </w:r>
      <w:proofErr w:type="spellStart"/>
      <w:r w:rsidRPr="35A31DE5" w:rsidR="01A8E401">
        <w:rPr>
          <w:rFonts w:ascii="Times New Roman" w:hAnsi="Times New Roman" w:eastAsia="Times New Roman" w:cs="Times New Roman"/>
          <w:sz w:val="24"/>
          <w:szCs w:val="24"/>
        </w:rPr>
        <w:t>doi</w:t>
      </w:r>
      <w:proofErr w:type="spellEnd"/>
      <w:r w:rsidRPr="35A31DE5" w:rsidR="01A8E401">
        <w:rPr>
          <w:rFonts w:ascii="Times New Roman" w:hAnsi="Times New Roman" w:eastAsia="Times New Roman" w:cs="Times New Roman"/>
          <w:sz w:val="24"/>
          <w:szCs w:val="24"/>
        </w:rPr>
        <w:t>: 10.1016/j.amjmed.2007.04.024.</w:t>
      </w:r>
    </w:p>
    <w:p w:rsidR="00410B0B" w:rsidP="35A31DE5" w:rsidRDefault="5383272C" w14:paraId="3537216C" w14:textId="427D768A">
      <w:pPr>
        <w:rPr>
          <w:rFonts w:ascii="Times New Roman" w:hAnsi="Times New Roman" w:eastAsia="Times New Roman" w:cs="Times New Roman"/>
          <w:sz w:val="24"/>
          <w:szCs w:val="24"/>
        </w:rPr>
      </w:pPr>
      <w:r w:rsidRPr="35A31DE5" w:rsidR="01A8E401">
        <w:rPr>
          <w:rFonts w:ascii="Times New Roman" w:hAnsi="Times New Roman" w:eastAsia="Times New Roman" w:cs="Times New Roman"/>
          <w:sz w:val="24"/>
          <w:szCs w:val="24"/>
        </w:rPr>
        <w:t xml:space="preserve">3. Smart NA, </w:t>
      </w:r>
      <w:proofErr w:type="spellStart"/>
      <w:r w:rsidRPr="35A31DE5" w:rsidR="01A8E401">
        <w:rPr>
          <w:rFonts w:ascii="Times New Roman" w:hAnsi="Times New Roman" w:eastAsia="Times New Roman" w:cs="Times New Roman"/>
          <w:sz w:val="24"/>
          <w:szCs w:val="24"/>
        </w:rPr>
        <w:t>Dieberg</w:t>
      </w:r>
      <w:proofErr w:type="spellEnd"/>
      <w:r w:rsidRPr="35A31DE5" w:rsidR="01A8E401">
        <w:rPr>
          <w:rFonts w:ascii="Times New Roman" w:hAnsi="Times New Roman" w:eastAsia="Times New Roman" w:cs="Times New Roman"/>
          <w:sz w:val="24"/>
          <w:szCs w:val="24"/>
        </w:rPr>
        <w:t xml:space="preserve"> G, Ladhani M, Titus T, Titus T. Early referral to specialist nephrology services for preventing the progression to end‐stage kidney disease. </w:t>
      </w:r>
      <w:r w:rsidRPr="35A31DE5" w:rsidR="01A8E401">
        <w:rPr>
          <w:rFonts w:ascii="Times New Roman" w:hAnsi="Times New Roman" w:eastAsia="Times New Roman" w:cs="Times New Roman"/>
          <w:i w:val="1"/>
          <w:iCs w:val="1"/>
          <w:sz w:val="24"/>
          <w:szCs w:val="24"/>
        </w:rPr>
        <w:t>Cochrane database of systematic reviews</w:t>
      </w:r>
      <w:r w:rsidRPr="35A31DE5" w:rsidR="01A8E401">
        <w:rPr>
          <w:rFonts w:ascii="Times New Roman" w:hAnsi="Times New Roman" w:eastAsia="Times New Roman" w:cs="Times New Roman"/>
          <w:sz w:val="24"/>
          <w:szCs w:val="24"/>
        </w:rPr>
        <w:t xml:space="preserve">. 2014;2014(6):CD007333. </w:t>
      </w:r>
      <w:hyperlink r:id="Rcebb019ed6a04f27">
        <w:r w:rsidRPr="35A31DE5" w:rsidR="01A8E401">
          <w:rPr>
            <w:rStyle w:val="Hyperlink"/>
            <w:rFonts w:ascii="Times New Roman" w:hAnsi="Times New Roman" w:eastAsia="Times New Roman" w:cs="Times New Roman"/>
            <w:color w:val="auto"/>
            <w:sz w:val="24"/>
            <w:szCs w:val="24"/>
          </w:rPr>
          <w:t>https://www.cochranelibrary.com/cdsr/doi/10.1002/14651858.CD007333.pub2</w:t>
        </w:r>
      </w:hyperlink>
      <w:r w:rsidRPr="35A31DE5" w:rsidR="01A8E401">
        <w:rPr>
          <w:rFonts w:ascii="Times New Roman" w:hAnsi="Times New Roman" w:eastAsia="Times New Roman" w:cs="Times New Roman"/>
          <w:sz w:val="24"/>
          <w:szCs w:val="24"/>
        </w:rPr>
        <w:t xml:space="preserve">. </w:t>
      </w:r>
      <w:proofErr w:type="spellStart"/>
      <w:r w:rsidRPr="35A31DE5" w:rsidR="01A8E401">
        <w:rPr>
          <w:rFonts w:ascii="Times New Roman" w:hAnsi="Times New Roman" w:eastAsia="Times New Roman" w:cs="Times New Roman"/>
          <w:sz w:val="24"/>
          <w:szCs w:val="24"/>
        </w:rPr>
        <w:t>doi</w:t>
      </w:r>
      <w:proofErr w:type="spellEnd"/>
      <w:r w:rsidRPr="35A31DE5" w:rsidR="01A8E401">
        <w:rPr>
          <w:rFonts w:ascii="Times New Roman" w:hAnsi="Times New Roman" w:eastAsia="Times New Roman" w:cs="Times New Roman"/>
          <w:sz w:val="24"/>
          <w:szCs w:val="24"/>
        </w:rPr>
        <w:t>: 10.1002/14651858.CD007333.pub2.</w:t>
      </w:r>
    </w:p>
    <w:p w:rsidR="00410B0B" w:rsidP="35A31DE5" w:rsidRDefault="5383272C" w14:paraId="135271F8" w14:textId="56A6BC97">
      <w:pPr>
        <w:rPr>
          <w:rFonts w:ascii="Times New Roman" w:hAnsi="Times New Roman" w:eastAsia="Times New Roman" w:cs="Times New Roman"/>
          <w:sz w:val="24"/>
          <w:szCs w:val="24"/>
        </w:rPr>
      </w:pPr>
      <w:r w:rsidRPr="35A31DE5" w:rsidR="01A8E401">
        <w:rPr>
          <w:rFonts w:ascii="Times New Roman" w:hAnsi="Times New Roman" w:eastAsia="Times New Roman" w:cs="Times New Roman"/>
          <w:sz w:val="24"/>
          <w:szCs w:val="24"/>
        </w:rPr>
        <w:t xml:space="preserve">4. United States Renal Data System. 2021 </w:t>
      </w:r>
      <w:r w:rsidRPr="35A31DE5" w:rsidR="01A8E401">
        <w:rPr>
          <w:rFonts w:ascii="Times New Roman" w:hAnsi="Times New Roman" w:eastAsia="Times New Roman" w:cs="Times New Roman"/>
          <w:i w:val="1"/>
          <w:iCs w:val="1"/>
          <w:sz w:val="24"/>
          <w:szCs w:val="24"/>
        </w:rPr>
        <w:t>USRDS Annual Data Report: Epidemiology of kidney disease in the United States.</w:t>
      </w:r>
      <w:r w:rsidRPr="35A31DE5" w:rsidR="01A8E401">
        <w:rPr>
          <w:rFonts w:ascii="Times New Roman" w:hAnsi="Times New Roman" w:eastAsia="Times New Roman" w:cs="Times New Roman"/>
          <w:sz w:val="24"/>
          <w:szCs w:val="24"/>
        </w:rPr>
        <w:t xml:space="preserve"> National Institutes of Health, National Institute of Diabetes and Digestive and Kidney Diseases, Bethesda, MD, 2021.</w:t>
      </w:r>
    </w:p>
    <w:p w:rsidR="1F9C4660" w:rsidP="35A31DE5" w:rsidRDefault="1F9C4660" w14:paraId="3F7AFF94" w14:textId="51F25EAD">
      <w:pPr>
        <w:rPr>
          <w:rFonts w:ascii="Times New Roman" w:hAnsi="Times New Roman" w:eastAsia="Times New Roman" w:cs="Times New Roman"/>
          <w:sz w:val="24"/>
          <w:szCs w:val="24"/>
        </w:rPr>
      </w:pPr>
      <w:r w:rsidRPr="35A31DE5" w:rsidR="738E3A35">
        <w:rPr>
          <w:rFonts w:ascii="Times New Roman" w:hAnsi="Times New Roman" w:eastAsia="Times New Roman" w:cs="Times New Roman"/>
          <w:sz w:val="24"/>
          <w:szCs w:val="24"/>
        </w:rPr>
        <w:t>5.</w:t>
      </w:r>
      <w:r w:rsidRPr="35A31DE5" w:rsidR="738E3A35">
        <w:rPr>
          <w:rFonts w:ascii="Times New Roman" w:hAnsi="Times New Roman" w:eastAsia="Times New Roman" w:cs="Times New Roman"/>
          <w:sz w:val="24"/>
          <w:szCs w:val="24"/>
        </w:rPr>
        <w:t xml:space="preserve"> Coresh J, Byrd-Holt D, Astor BC, et al. </w:t>
      </w:r>
      <w:proofErr w:type="gramStart"/>
      <w:r w:rsidRPr="35A31DE5" w:rsidR="738E3A35">
        <w:rPr>
          <w:rFonts w:ascii="Times New Roman" w:hAnsi="Times New Roman" w:eastAsia="Times New Roman" w:cs="Times New Roman"/>
          <w:sz w:val="24"/>
          <w:szCs w:val="24"/>
        </w:rPr>
        <w:t>Chronic kidney disease</w:t>
      </w:r>
      <w:proofErr w:type="gramEnd"/>
      <w:r w:rsidRPr="35A31DE5" w:rsidR="738E3A35">
        <w:rPr>
          <w:rFonts w:ascii="Times New Roman" w:hAnsi="Times New Roman" w:eastAsia="Times New Roman" w:cs="Times New Roman"/>
          <w:sz w:val="24"/>
          <w:szCs w:val="24"/>
        </w:rPr>
        <w:t xml:space="preserve"> awareness, prevalence, and trends among U.S. adults, 1999 to 2000. </w:t>
      </w:r>
      <w:r w:rsidRPr="35A31DE5" w:rsidR="738E3A35">
        <w:rPr>
          <w:rFonts w:ascii="Times New Roman" w:hAnsi="Times New Roman" w:eastAsia="Times New Roman" w:cs="Times New Roman"/>
          <w:i w:val="1"/>
          <w:iCs w:val="1"/>
          <w:sz w:val="24"/>
          <w:szCs w:val="24"/>
        </w:rPr>
        <w:t>Journal of the American Society of Nephrology</w:t>
      </w:r>
      <w:r w:rsidRPr="35A31DE5" w:rsidR="738E3A35">
        <w:rPr>
          <w:rFonts w:ascii="Times New Roman" w:hAnsi="Times New Roman" w:eastAsia="Times New Roman" w:cs="Times New Roman"/>
          <w:sz w:val="24"/>
          <w:szCs w:val="24"/>
        </w:rPr>
        <w:t>. 2005;16(1):180-188.</w:t>
      </w:r>
      <w:r w:rsidRPr="35A31DE5" w:rsidR="738E3A35">
        <w:rPr>
          <w:rFonts w:ascii="Times New Roman" w:hAnsi="Times New Roman" w:eastAsia="Times New Roman" w:cs="Times New Roman"/>
          <w:color w:val="53565A"/>
          <w:sz w:val="24"/>
          <w:szCs w:val="24"/>
        </w:rPr>
        <w:t xml:space="preserve"> </w:t>
      </w:r>
      <w:hyperlink r:id="R93e0583d7924400b">
        <w:r w:rsidRPr="35A31DE5" w:rsidR="738E3A35">
          <w:rPr>
            <w:rStyle w:val="Hyperlink"/>
            <w:rFonts w:ascii="Times New Roman" w:hAnsi="Times New Roman" w:eastAsia="Times New Roman" w:cs="Times New Roman"/>
            <w:sz w:val="24"/>
            <w:szCs w:val="24"/>
          </w:rPr>
          <w:t>https://www.ncbi.nlm.nih.gov/pubmed/15563563</w:t>
        </w:r>
      </w:hyperlink>
      <w:r w:rsidRPr="35A31DE5" w:rsidR="738E3A35">
        <w:rPr>
          <w:rFonts w:ascii="Times New Roman" w:hAnsi="Times New Roman" w:eastAsia="Times New Roman" w:cs="Times New Roman"/>
          <w:color w:val="53565A"/>
          <w:sz w:val="24"/>
          <w:szCs w:val="24"/>
        </w:rPr>
        <w:t xml:space="preserve">. </w:t>
      </w:r>
      <w:proofErr w:type="spellStart"/>
      <w:r w:rsidRPr="35A31DE5" w:rsidR="738E3A35">
        <w:rPr>
          <w:rFonts w:ascii="Times New Roman" w:hAnsi="Times New Roman" w:eastAsia="Times New Roman" w:cs="Times New Roman"/>
          <w:sz w:val="24"/>
          <w:szCs w:val="24"/>
        </w:rPr>
        <w:t>doi</w:t>
      </w:r>
      <w:proofErr w:type="spellEnd"/>
      <w:r w:rsidRPr="35A31DE5" w:rsidR="738E3A35">
        <w:rPr>
          <w:rFonts w:ascii="Times New Roman" w:hAnsi="Times New Roman" w:eastAsia="Times New Roman" w:cs="Times New Roman"/>
          <w:sz w:val="24"/>
          <w:szCs w:val="24"/>
        </w:rPr>
        <w:t>: 10.1681/ASN.2004070539.</w:t>
      </w:r>
    </w:p>
    <w:p w:rsidR="1F9C4660" w:rsidP="35A31DE5" w:rsidRDefault="1F9C4660" w14:paraId="45C596F3" w14:textId="76FF4960">
      <w:pPr>
        <w:rPr>
          <w:rFonts w:ascii="Times New Roman" w:hAnsi="Times New Roman" w:eastAsia="Times New Roman" w:cs="Times New Roman"/>
          <w:sz w:val="24"/>
          <w:szCs w:val="24"/>
        </w:rPr>
      </w:pPr>
      <w:r w:rsidRPr="35A31DE5" w:rsidR="738E3A35">
        <w:rPr>
          <w:rFonts w:ascii="Times New Roman" w:hAnsi="Times New Roman" w:eastAsia="Times New Roman" w:cs="Times New Roman"/>
          <w:sz w:val="24"/>
          <w:szCs w:val="24"/>
        </w:rPr>
        <w:t>6.</w:t>
      </w:r>
      <w:r w:rsidRPr="35A31DE5" w:rsidR="738E3A35">
        <w:rPr>
          <w:rFonts w:ascii="Times New Roman" w:hAnsi="Times New Roman" w:eastAsia="Times New Roman" w:cs="Times New Roman"/>
          <w:color w:val="53565A"/>
          <w:sz w:val="24"/>
          <w:szCs w:val="24"/>
        </w:rPr>
        <w:t xml:space="preserve"> </w:t>
      </w:r>
      <w:r w:rsidRPr="35A31DE5" w:rsidR="738E3A35">
        <w:rPr>
          <w:rFonts w:ascii="Times New Roman" w:hAnsi="Times New Roman" w:eastAsia="Times New Roman" w:cs="Times New Roman"/>
          <w:sz w:val="24"/>
          <w:szCs w:val="24"/>
        </w:rPr>
        <w:t xml:space="preserve">Hsu C, Feng Lin, Vittinghoff E, </w:t>
      </w:r>
      <w:proofErr w:type="spellStart"/>
      <w:r w:rsidRPr="35A31DE5" w:rsidR="738E3A35">
        <w:rPr>
          <w:rFonts w:ascii="Times New Roman" w:hAnsi="Times New Roman" w:eastAsia="Times New Roman" w:cs="Times New Roman"/>
          <w:sz w:val="24"/>
          <w:szCs w:val="24"/>
        </w:rPr>
        <w:t>Shlipak</w:t>
      </w:r>
      <w:proofErr w:type="spellEnd"/>
      <w:r w:rsidRPr="35A31DE5" w:rsidR="738E3A35">
        <w:rPr>
          <w:rFonts w:ascii="Times New Roman" w:hAnsi="Times New Roman" w:eastAsia="Times New Roman" w:cs="Times New Roman"/>
          <w:sz w:val="24"/>
          <w:szCs w:val="24"/>
        </w:rPr>
        <w:t xml:space="preserve"> MG. Racial differences in the progression from chronic renal insufficiency to end-stage renal disease in the </w:t>
      </w:r>
      <w:proofErr w:type="gramStart"/>
      <w:r w:rsidRPr="35A31DE5" w:rsidR="738E3A35">
        <w:rPr>
          <w:rFonts w:ascii="Times New Roman" w:hAnsi="Times New Roman" w:eastAsia="Times New Roman" w:cs="Times New Roman"/>
          <w:sz w:val="24"/>
          <w:szCs w:val="24"/>
        </w:rPr>
        <w:t>united states</w:t>
      </w:r>
      <w:proofErr w:type="gramEnd"/>
      <w:r w:rsidRPr="35A31DE5" w:rsidR="738E3A35">
        <w:rPr>
          <w:rFonts w:ascii="Times New Roman" w:hAnsi="Times New Roman" w:eastAsia="Times New Roman" w:cs="Times New Roman"/>
          <w:sz w:val="24"/>
          <w:szCs w:val="24"/>
        </w:rPr>
        <w:t xml:space="preserve">. </w:t>
      </w:r>
      <w:r w:rsidRPr="35A31DE5" w:rsidR="738E3A35">
        <w:rPr>
          <w:rFonts w:ascii="Times New Roman" w:hAnsi="Times New Roman" w:eastAsia="Times New Roman" w:cs="Times New Roman"/>
          <w:i w:val="1"/>
          <w:iCs w:val="1"/>
          <w:sz w:val="24"/>
          <w:szCs w:val="24"/>
        </w:rPr>
        <w:t>Journal of the American Society of Nephrology</w:t>
      </w:r>
      <w:r w:rsidRPr="35A31DE5" w:rsidR="738E3A35">
        <w:rPr>
          <w:rFonts w:ascii="Times New Roman" w:hAnsi="Times New Roman" w:eastAsia="Times New Roman" w:cs="Times New Roman"/>
          <w:sz w:val="24"/>
          <w:szCs w:val="24"/>
        </w:rPr>
        <w:t>. 2003;14(11):2902-2907.</w:t>
      </w:r>
      <w:r w:rsidRPr="35A31DE5" w:rsidR="738E3A35">
        <w:rPr>
          <w:rFonts w:ascii="Times New Roman" w:hAnsi="Times New Roman" w:eastAsia="Times New Roman" w:cs="Times New Roman"/>
          <w:color w:val="53565A"/>
          <w:sz w:val="24"/>
          <w:szCs w:val="24"/>
        </w:rPr>
        <w:t xml:space="preserve"> </w:t>
      </w:r>
      <w:hyperlink r:id="R1208bae2efa84585">
        <w:r w:rsidRPr="35A31DE5" w:rsidR="738E3A35">
          <w:rPr>
            <w:rStyle w:val="Hyperlink"/>
            <w:rFonts w:ascii="Times New Roman" w:hAnsi="Times New Roman" w:eastAsia="Times New Roman" w:cs="Times New Roman"/>
            <w:sz w:val="24"/>
            <w:szCs w:val="24"/>
          </w:rPr>
          <w:t>https://www.ncbi.nlm.nih.gov/pubmed/14569100</w:t>
        </w:r>
      </w:hyperlink>
      <w:r w:rsidRPr="35A31DE5" w:rsidR="738E3A35">
        <w:rPr>
          <w:rFonts w:ascii="Times New Roman" w:hAnsi="Times New Roman" w:eastAsia="Times New Roman" w:cs="Times New Roman"/>
          <w:sz w:val="24"/>
          <w:szCs w:val="24"/>
        </w:rPr>
        <w:t xml:space="preserve">. </w:t>
      </w:r>
      <w:proofErr w:type="spellStart"/>
      <w:r w:rsidRPr="35A31DE5" w:rsidR="738E3A35">
        <w:rPr>
          <w:rFonts w:ascii="Times New Roman" w:hAnsi="Times New Roman" w:eastAsia="Times New Roman" w:cs="Times New Roman"/>
          <w:sz w:val="24"/>
          <w:szCs w:val="24"/>
        </w:rPr>
        <w:t>doi</w:t>
      </w:r>
      <w:proofErr w:type="spellEnd"/>
      <w:r w:rsidRPr="35A31DE5" w:rsidR="738E3A35">
        <w:rPr>
          <w:rFonts w:ascii="Times New Roman" w:hAnsi="Times New Roman" w:eastAsia="Times New Roman" w:cs="Times New Roman"/>
          <w:sz w:val="24"/>
          <w:szCs w:val="24"/>
        </w:rPr>
        <w:t>: 10.1097/01.ASN.</w:t>
      </w:r>
      <w:proofErr w:type="gramStart"/>
      <w:r w:rsidRPr="35A31DE5" w:rsidR="738E3A35">
        <w:rPr>
          <w:rFonts w:ascii="Times New Roman" w:hAnsi="Times New Roman" w:eastAsia="Times New Roman" w:cs="Times New Roman"/>
          <w:sz w:val="24"/>
          <w:szCs w:val="24"/>
        </w:rPr>
        <w:t>0000091586.46532.B</w:t>
      </w:r>
      <w:proofErr w:type="gramEnd"/>
      <w:r w:rsidRPr="35A31DE5" w:rsidR="738E3A35">
        <w:rPr>
          <w:rFonts w:ascii="Times New Roman" w:hAnsi="Times New Roman" w:eastAsia="Times New Roman" w:cs="Times New Roman"/>
          <w:sz w:val="24"/>
          <w:szCs w:val="24"/>
        </w:rPr>
        <w:t>4.</w:t>
      </w:r>
    </w:p>
    <w:p w:rsidR="00410B0B" w:rsidP="35A31DE5" w:rsidRDefault="5383272C" w14:paraId="18D37281" w14:textId="676B286E">
      <w:pPr>
        <w:rPr>
          <w:rFonts w:ascii="Times New Roman" w:hAnsi="Times New Roman" w:eastAsia="Times New Roman" w:cs="Times New Roman"/>
          <w:sz w:val="24"/>
          <w:szCs w:val="24"/>
        </w:rPr>
      </w:pPr>
      <w:r w:rsidRPr="35A31DE5" w:rsidR="01A8E401">
        <w:rPr>
          <w:rFonts w:ascii="Times New Roman" w:hAnsi="Times New Roman" w:eastAsia="Times New Roman" w:cs="Times New Roman"/>
          <w:sz w:val="24"/>
          <w:szCs w:val="24"/>
        </w:rPr>
        <w:t xml:space="preserve">7. Derose SF, Rutkowski MP, Crooks PW, et al. Racial differences in estimated GFR decline, ESRD, and mortality in an integrated health system. </w:t>
      </w:r>
      <w:r w:rsidRPr="35A31DE5" w:rsidR="01A8E401">
        <w:rPr>
          <w:rFonts w:ascii="Times New Roman" w:hAnsi="Times New Roman" w:eastAsia="Times New Roman" w:cs="Times New Roman"/>
          <w:i w:val="1"/>
          <w:iCs w:val="1"/>
          <w:sz w:val="24"/>
          <w:szCs w:val="24"/>
        </w:rPr>
        <w:t>American Journal of Kidney Diseases</w:t>
      </w:r>
      <w:r w:rsidRPr="35A31DE5" w:rsidR="01A8E401">
        <w:rPr>
          <w:rFonts w:ascii="Times New Roman" w:hAnsi="Times New Roman" w:eastAsia="Times New Roman" w:cs="Times New Roman"/>
          <w:sz w:val="24"/>
          <w:szCs w:val="24"/>
        </w:rPr>
        <w:t xml:space="preserve">. 2013. </w:t>
      </w:r>
      <w:hyperlink r:id="Rbff045aec0ee4f5c">
        <w:r w:rsidRPr="35A31DE5" w:rsidR="01A8E401">
          <w:rPr>
            <w:rStyle w:val="Hyperlink"/>
            <w:rFonts w:ascii="Times New Roman" w:hAnsi="Times New Roman" w:eastAsia="Times New Roman" w:cs="Times New Roman"/>
            <w:sz w:val="24"/>
            <w:szCs w:val="24"/>
          </w:rPr>
          <w:t>https://escholarship.org/uc/item/12d8j360</w:t>
        </w:r>
      </w:hyperlink>
      <w:r w:rsidRPr="35A31DE5" w:rsidR="01A8E401">
        <w:rPr>
          <w:rFonts w:ascii="Times New Roman" w:hAnsi="Times New Roman" w:eastAsia="Times New Roman" w:cs="Times New Roman"/>
          <w:sz w:val="24"/>
          <w:szCs w:val="24"/>
        </w:rPr>
        <w:t>.</w:t>
      </w:r>
    </w:p>
    <w:p w:rsidR="1F9C4660" w:rsidP="35A31DE5" w:rsidRDefault="1F9C4660" w14:paraId="687C408D" w14:textId="79F79F60">
      <w:pPr>
        <w:rPr>
          <w:rFonts w:ascii="Times New Roman" w:hAnsi="Times New Roman" w:eastAsia="Times New Roman" w:cs="Times New Roman"/>
          <w:color w:val="000000" w:themeColor="text1"/>
          <w:sz w:val="24"/>
          <w:szCs w:val="24"/>
        </w:rPr>
      </w:pPr>
      <w:r w:rsidRPr="35A31DE5" w:rsidR="738E3A35">
        <w:rPr>
          <w:rFonts w:ascii="Times New Roman" w:hAnsi="Times New Roman" w:eastAsia="Times New Roman" w:cs="Times New Roman"/>
          <w:color w:val="000000" w:themeColor="text1" w:themeTint="FF" w:themeShade="FF"/>
          <w:sz w:val="24"/>
          <w:szCs w:val="24"/>
        </w:rPr>
        <w:t xml:space="preserve">8. Yan G, Cheung AK, Ma JZ, et al. The associations between race and geographic area and quality-of-care indicators in patients approaching ESRD. </w:t>
      </w:r>
      <w:r w:rsidRPr="35A31DE5" w:rsidR="738E3A35">
        <w:rPr>
          <w:rFonts w:ascii="Times New Roman" w:hAnsi="Times New Roman" w:eastAsia="Times New Roman" w:cs="Times New Roman"/>
          <w:i w:val="1"/>
          <w:iCs w:val="1"/>
          <w:color w:val="000000" w:themeColor="text1" w:themeTint="FF" w:themeShade="FF"/>
          <w:sz w:val="24"/>
          <w:szCs w:val="24"/>
        </w:rPr>
        <w:t>Clinical journal of the American Society of Nephrology</w:t>
      </w:r>
      <w:r w:rsidRPr="35A31DE5" w:rsidR="738E3A35">
        <w:rPr>
          <w:rFonts w:ascii="Times New Roman" w:hAnsi="Times New Roman" w:eastAsia="Times New Roman" w:cs="Times New Roman"/>
          <w:color w:val="000000" w:themeColor="text1" w:themeTint="FF" w:themeShade="FF"/>
          <w:sz w:val="24"/>
          <w:szCs w:val="24"/>
        </w:rPr>
        <w:t>. 2013;8(4):610-618.</w:t>
      </w:r>
      <w:r w:rsidRPr="35A31DE5" w:rsidR="738E3A35">
        <w:rPr>
          <w:rFonts w:ascii="Times New Roman" w:hAnsi="Times New Roman" w:eastAsia="Times New Roman" w:cs="Times New Roman"/>
          <w:color w:val="53565A"/>
          <w:sz w:val="24"/>
          <w:szCs w:val="24"/>
        </w:rPr>
        <w:t xml:space="preserve"> </w:t>
      </w:r>
      <w:hyperlink r:id="R1efe8dc860bd434e">
        <w:r w:rsidRPr="35A31DE5" w:rsidR="738E3A35">
          <w:rPr>
            <w:rStyle w:val="Hyperlink"/>
            <w:rFonts w:ascii="Times New Roman" w:hAnsi="Times New Roman" w:eastAsia="Times New Roman" w:cs="Times New Roman"/>
            <w:sz w:val="24"/>
            <w:szCs w:val="24"/>
          </w:rPr>
          <w:t>http://cjasn.asnjournals.org/content/8/4/610.abstract</w:t>
        </w:r>
      </w:hyperlink>
      <w:r w:rsidRPr="35A31DE5" w:rsidR="738E3A35">
        <w:rPr>
          <w:rFonts w:ascii="Times New Roman" w:hAnsi="Times New Roman" w:eastAsia="Times New Roman" w:cs="Times New Roman"/>
          <w:color w:val="53565A"/>
          <w:sz w:val="24"/>
          <w:szCs w:val="24"/>
        </w:rPr>
        <w:t>.</w:t>
      </w:r>
      <w:r w:rsidRPr="35A31DE5" w:rsidR="738E3A35">
        <w:rPr>
          <w:rFonts w:ascii="Times New Roman" w:hAnsi="Times New Roman" w:eastAsia="Times New Roman" w:cs="Times New Roman"/>
          <w:color w:val="000000" w:themeColor="text1" w:themeTint="FF" w:themeShade="FF"/>
          <w:sz w:val="24"/>
          <w:szCs w:val="24"/>
        </w:rPr>
        <w:t xml:space="preserve"> </w:t>
      </w:r>
      <w:proofErr w:type="spellStart"/>
      <w:r w:rsidRPr="35A31DE5" w:rsidR="738E3A35">
        <w:rPr>
          <w:rFonts w:ascii="Times New Roman" w:hAnsi="Times New Roman" w:eastAsia="Times New Roman" w:cs="Times New Roman"/>
          <w:color w:val="000000" w:themeColor="text1" w:themeTint="FF" w:themeShade="FF"/>
          <w:sz w:val="24"/>
          <w:szCs w:val="24"/>
        </w:rPr>
        <w:t>doi</w:t>
      </w:r>
      <w:proofErr w:type="spellEnd"/>
      <w:r w:rsidRPr="35A31DE5" w:rsidR="738E3A35">
        <w:rPr>
          <w:rFonts w:ascii="Times New Roman" w:hAnsi="Times New Roman" w:eastAsia="Times New Roman" w:cs="Times New Roman"/>
          <w:color w:val="000000" w:themeColor="text1" w:themeTint="FF" w:themeShade="FF"/>
          <w:sz w:val="24"/>
          <w:szCs w:val="24"/>
        </w:rPr>
        <w:t>: 10.2215/CJN.07780812.</w:t>
      </w:r>
    </w:p>
    <w:p w:rsidR="00335132" w:rsidP="35A31DE5" w:rsidRDefault="00335132" w14:paraId="79B128E1" w14:textId="098E6497">
      <w:pPr>
        <w:rPr>
          <w:rFonts w:ascii="Times New Roman" w:hAnsi="Times New Roman" w:eastAsia="Times New Roman" w:cs="Times New Roman"/>
          <w:sz w:val="24"/>
          <w:szCs w:val="24"/>
        </w:rPr>
      </w:pPr>
      <w:r w:rsidRPr="35A31DE5" w:rsidR="6B875B36">
        <w:rPr>
          <w:rFonts w:ascii="Times New Roman" w:hAnsi="Times New Roman" w:eastAsia="Times New Roman" w:cs="Times New Roman"/>
          <w:sz w:val="24"/>
          <w:szCs w:val="24"/>
        </w:rPr>
        <w:t xml:space="preserve">9. Timing of evaluation by specialists for patients with chronic kidney disease. </w:t>
      </w:r>
      <w:r w:rsidRPr="35A31DE5" w:rsidR="6B875B36">
        <w:rPr>
          <w:rFonts w:ascii="Times New Roman" w:hAnsi="Times New Roman" w:eastAsia="Times New Roman" w:cs="Times New Roman"/>
          <w:i w:val="1"/>
          <w:iCs w:val="1"/>
          <w:sz w:val="24"/>
          <w:szCs w:val="24"/>
        </w:rPr>
        <w:t>Ann Intern Med</w:t>
      </w:r>
      <w:r w:rsidRPr="35A31DE5" w:rsidR="6B875B36">
        <w:rPr>
          <w:rFonts w:ascii="Times New Roman" w:hAnsi="Times New Roman" w:eastAsia="Times New Roman" w:cs="Times New Roman"/>
          <w:sz w:val="24"/>
          <w:szCs w:val="24"/>
        </w:rPr>
        <w:t>. 2002;137(6</w:t>
      </w:r>
      <w:proofErr w:type="gramStart"/>
      <w:r w:rsidRPr="35A31DE5" w:rsidR="6B875B36">
        <w:rPr>
          <w:rFonts w:ascii="Times New Roman" w:hAnsi="Times New Roman" w:eastAsia="Times New Roman" w:cs="Times New Roman"/>
          <w:sz w:val="24"/>
          <w:szCs w:val="24"/>
        </w:rPr>
        <w:t>):I</w:t>
      </w:r>
      <w:proofErr w:type="gramEnd"/>
      <w:r w:rsidRPr="35A31DE5" w:rsidR="6B875B36">
        <w:rPr>
          <w:rFonts w:ascii="Times New Roman" w:hAnsi="Times New Roman" w:eastAsia="Times New Roman" w:cs="Times New Roman"/>
          <w:sz w:val="24"/>
          <w:szCs w:val="24"/>
        </w:rPr>
        <w:t xml:space="preserve">-24. </w:t>
      </w:r>
      <w:hyperlink r:id="R3cab1aeeb6064c11">
        <w:r w:rsidRPr="35A31DE5" w:rsidR="6B875B36">
          <w:rPr>
            <w:rStyle w:val="Hyperlink"/>
            <w:rFonts w:ascii="Times New Roman" w:hAnsi="Times New Roman" w:eastAsia="Times New Roman" w:cs="Times New Roman"/>
            <w:sz w:val="24"/>
            <w:szCs w:val="24"/>
          </w:rPr>
          <w:t>https://www.acpjournals.org/doi/abs/10.7326/0003-4819-137-6-200209170-00001</w:t>
        </w:r>
      </w:hyperlink>
      <w:r w:rsidRPr="35A31DE5" w:rsidR="6B875B36">
        <w:rPr>
          <w:rFonts w:ascii="Times New Roman" w:hAnsi="Times New Roman" w:eastAsia="Times New Roman" w:cs="Times New Roman"/>
          <w:color w:val="53565A"/>
          <w:sz w:val="24"/>
          <w:szCs w:val="24"/>
        </w:rPr>
        <w:t xml:space="preserve">. </w:t>
      </w:r>
      <w:proofErr w:type="spellStart"/>
      <w:r w:rsidRPr="35A31DE5" w:rsidR="6B875B36">
        <w:rPr>
          <w:rFonts w:ascii="Times New Roman" w:hAnsi="Times New Roman" w:eastAsia="Times New Roman" w:cs="Times New Roman"/>
          <w:sz w:val="24"/>
          <w:szCs w:val="24"/>
        </w:rPr>
        <w:t>doi</w:t>
      </w:r>
      <w:proofErr w:type="spellEnd"/>
      <w:r w:rsidRPr="35A31DE5" w:rsidR="6B875B36">
        <w:rPr>
          <w:rFonts w:ascii="Times New Roman" w:hAnsi="Times New Roman" w:eastAsia="Times New Roman" w:cs="Times New Roman"/>
          <w:sz w:val="24"/>
          <w:szCs w:val="24"/>
        </w:rPr>
        <w:t>: 10.7326/0003-4819-137-6-200209170-00001.</w:t>
      </w:r>
    </w:p>
    <w:p w:rsidR="1F9C4660" w:rsidP="35A31DE5" w:rsidRDefault="1F9C4660" w14:paraId="260EABE5" w14:textId="7C56E9F0">
      <w:pPr>
        <w:rPr>
          <w:rFonts w:ascii="Times New Roman" w:hAnsi="Times New Roman" w:eastAsia="Times New Roman" w:cs="Times New Roman"/>
          <w:color w:val="212121"/>
          <w:sz w:val="24"/>
          <w:szCs w:val="24"/>
        </w:rPr>
      </w:pPr>
      <w:r w:rsidRPr="35A31DE5" w:rsidR="738E3A35">
        <w:rPr>
          <w:rFonts w:ascii="Times New Roman" w:hAnsi="Times New Roman" w:eastAsia="Times New Roman" w:cs="Times New Roman"/>
          <w:sz w:val="24"/>
          <w:szCs w:val="24"/>
        </w:rPr>
        <w:t>10.</w:t>
      </w:r>
      <w:r w:rsidRPr="35A31DE5" w:rsidR="738E3A35">
        <w:rPr>
          <w:rFonts w:ascii="Times New Roman" w:hAnsi="Times New Roman" w:eastAsia="Times New Roman" w:cs="Times New Roman"/>
          <w:sz w:val="24"/>
          <w:szCs w:val="24"/>
        </w:rPr>
        <w:t xml:space="preserve"> </w:t>
      </w:r>
      <w:r w:rsidRPr="35A31DE5" w:rsidR="3C9D852B">
        <w:rPr>
          <w:rFonts w:ascii="Times New Roman" w:hAnsi="Times New Roman" w:eastAsia="Times New Roman" w:cs="Times New Roman"/>
          <w:sz w:val="24"/>
          <w:szCs w:val="24"/>
        </w:rPr>
        <w:t xml:space="preserve">Kinchen KS, Sadler J, Fink N, et al. The timing of specialist evaluation in chronic kidney disease and mortality. </w:t>
      </w:r>
      <w:r w:rsidRPr="35A31DE5" w:rsidR="3C9D852B">
        <w:rPr>
          <w:rFonts w:ascii="Times New Roman" w:hAnsi="Times New Roman" w:eastAsia="Times New Roman" w:cs="Times New Roman"/>
          <w:i w:val="1"/>
          <w:iCs w:val="1"/>
          <w:sz w:val="24"/>
          <w:szCs w:val="24"/>
        </w:rPr>
        <w:t>Annals of internal medicine</w:t>
      </w:r>
      <w:r w:rsidRPr="35A31DE5" w:rsidR="3C9D852B">
        <w:rPr>
          <w:rFonts w:ascii="Times New Roman" w:hAnsi="Times New Roman" w:eastAsia="Times New Roman" w:cs="Times New Roman"/>
          <w:sz w:val="24"/>
          <w:szCs w:val="24"/>
        </w:rPr>
        <w:t>. 2002;137(6):479-486.</w:t>
      </w:r>
      <w:r w:rsidRPr="35A31DE5" w:rsidR="3C9D852B">
        <w:rPr>
          <w:rFonts w:ascii="Times New Roman" w:hAnsi="Times New Roman" w:eastAsia="Times New Roman" w:cs="Times New Roman"/>
          <w:color w:val="53565A"/>
          <w:sz w:val="24"/>
          <w:szCs w:val="24"/>
        </w:rPr>
        <w:t xml:space="preserve"> </w:t>
      </w:r>
      <w:hyperlink r:id="Rb343a1911fcb4607">
        <w:r w:rsidRPr="35A31DE5" w:rsidR="3C9D852B">
          <w:rPr>
            <w:rStyle w:val="Hyperlink"/>
            <w:rFonts w:ascii="Times New Roman" w:hAnsi="Times New Roman" w:eastAsia="Times New Roman" w:cs="Times New Roman"/>
            <w:sz w:val="24"/>
            <w:szCs w:val="24"/>
          </w:rPr>
          <w:t>https://www.ncbi.nlm.nih.gov/pubmed/12230348</w:t>
        </w:r>
      </w:hyperlink>
      <w:r w:rsidRPr="35A31DE5" w:rsidR="3C9D852B">
        <w:rPr>
          <w:rFonts w:ascii="Times New Roman" w:hAnsi="Times New Roman" w:eastAsia="Times New Roman" w:cs="Times New Roman"/>
          <w:color w:val="53565A"/>
          <w:sz w:val="24"/>
          <w:szCs w:val="24"/>
        </w:rPr>
        <w:t>.</w:t>
      </w:r>
      <w:r w:rsidRPr="35A31DE5" w:rsidR="3C9D852B">
        <w:rPr>
          <w:rFonts w:ascii="Times New Roman" w:hAnsi="Times New Roman" w:eastAsia="Times New Roman" w:cs="Times New Roman"/>
          <w:sz w:val="24"/>
          <w:szCs w:val="24"/>
        </w:rPr>
        <w:t xml:space="preserve"> </w:t>
      </w:r>
      <w:proofErr w:type="spellStart"/>
      <w:r w:rsidRPr="35A31DE5" w:rsidR="3C9D852B">
        <w:rPr>
          <w:rFonts w:ascii="Times New Roman" w:hAnsi="Times New Roman" w:eastAsia="Times New Roman" w:cs="Times New Roman"/>
          <w:sz w:val="24"/>
          <w:szCs w:val="24"/>
        </w:rPr>
        <w:t>doi</w:t>
      </w:r>
      <w:proofErr w:type="spellEnd"/>
      <w:r w:rsidRPr="35A31DE5" w:rsidR="3C9D852B">
        <w:rPr>
          <w:rFonts w:ascii="Times New Roman" w:hAnsi="Times New Roman" w:eastAsia="Times New Roman" w:cs="Times New Roman"/>
          <w:sz w:val="24"/>
          <w:szCs w:val="24"/>
        </w:rPr>
        <w:t>: 10.7326/0003-4819-137-6-200209170-00007.</w:t>
      </w:r>
    </w:p>
    <w:p w:rsidR="6BF41D3A" w:rsidP="35A31DE5" w:rsidRDefault="6BF41D3A" w14:paraId="3A11655E" w14:textId="6371D9A3">
      <w:pPr>
        <w:rPr>
          <w:rFonts w:ascii="Times New Roman" w:hAnsi="Times New Roman" w:eastAsia="Times New Roman" w:cs="Times New Roman"/>
          <w:color w:val="000000" w:themeColor="text1"/>
          <w:sz w:val="24"/>
          <w:szCs w:val="24"/>
        </w:rPr>
      </w:pPr>
      <w:r w:rsidRPr="35A31DE5" w:rsidR="4A4544F1">
        <w:rPr>
          <w:rFonts w:ascii="Times New Roman" w:hAnsi="Times New Roman" w:eastAsia="Times New Roman" w:cs="Times New Roman"/>
          <w:color w:val="000000" w:themeColor="text1" w:themeTint="FF" w:themeShade="FF"/>
          <w:sz w:val="24"/>
          <w:szCs w:val="24"/>
        </w:rPr>
        <w:t xml:space="preserve">11. </w:t>
      </w:r>
      <w:r w:rsidRPr="35A31DE5" w:rsidR="4A4544F1">
        <w:rPr>
          <w:rFonts w:ascii="Times New Roman" w:hAnsi="Times New Roman" w:eastAsia="Times New Roman" w:cs="Times New Roman"/>
          <w:color w:val="000000" w:themeColor="text1" w:themeTint="FF" w:themeShade="FF"/>
          <w:sz w:val="24"/>
          <w:szCs w:val="24"/>
        </w:rPr>
        <w:t xml:space="preserve">Schmidt R, Domico J, Sorkin M, Hobbs G. Early referral and its impact on emergent first </w:t>
      </w:r>
      <w:proofErr w:type="gramStart"/>
      <w:r w:rsidRPr="35A31DE5" w:rsidR="4A4544F1">
        <w:rPr>
          <w:rFonts w:ascii="Times New Roman" w:hAnsi="Times New Roman" w:eastAsia="Times New Roman" w:cs="Times New Roman"/>
          <w:color w:val="000000" w:themeColor="text1" w:themeTint="FF" w:themeShade="FF"/>
          <w:sz w:val="24"/>
          <w:szCs w:val="24"/>
        </w:rPr>
        <w:t>dialyses</w:t>
      </w:r>
      <w:proofErr w:type="gramEnd"/>
      <w:r w:rsidRPr="35A31DE5" w:rsidR="4A4544F1">
        <w:rPr>
          <w:rFonts w:ascii="Times New Roman" w:hAnsi="Times New Roman" w:eastAsia="Times New Roman" w:cs="Times New Roman"/>
          <w:color w:val="000000" w:themeColor="text1" w:themeTint="FF" w:themeShade="FF"/>
          <w:sz w:val="24"/>
          <w:szCs w:val="24"/>
        </w:rPr>
        <w:t xml:space="preserve">, health care costs, and outcome. </w:t>
      </w:r>
      <w:r w:rsidRPr="35A31DE5" w:rsidR="4A4544F1">
        <w:rPr>
          <w:rFonts w:ascii="Times New Roman" w:hAnsi="Times New Roman" w:eastAsia="Times New Roman" w:cs="Times New Roman"/>
          <w:i w:val="1"/>
          <w:iCs w:val="1"/>
          <w:color w:val="000000" w:themeColor="text1" w:themeTint="FF" w:themeShade="FF"/>
          <w:sz w:val="24"/>
          <w:szCs w:val="24"/>
        </w:rPr>
        <w:t>American journal of kidney diseases</w:t>
      </w:r>
      <w:r w:rsidRPr="35A31DE5" w:rsidR="4A4544F1">
        <w:rPr>
          <w:rFonts w:ascii="Times New Roman" w:hAnsi="Times New Roman" w:eastAsia="Times New Roman" w:cs="Times New Roman"/>
          <w:color w:val="000000" w:themeColor="text1" w:themeTint="FF" w:themeShade="FF"/>
          <w:sz w:val="24"/>
          <w:szCs w:val="24"/>
        </w:rPr>
        <w:t xml:space="preserve">. 1998;32(2):278-283. </w:t>
      </w:r>
      <w:hyperlink r:id="R11d8b02e1d0247a2">
        <w:r w:rsidRPr="35A31DE5" w:rsidR="4A4544F1">
          <w:rPr>
            <w:rStyle w:val="Hyperlink"/>
            <w:rFonts w:ascii="Times New Roman" w:hAnsi="Times New Roman" w:eastAsia="Times New Roman" w:cs="Times New Roman"/>
            <w:sz w:val="24"/>
            <w:szCs w:val="24"/>
          </w:rPr>
          <w:t>https://dx.doi.org/10.1053/ajkd.1998.v32.pm9708613</w:t>
        </w:r>
      </w:hyperlink>
      <w:r w:rsidRPr="35A31DE5" w:rsidR="4A4544F1">
        <w:rPr>
          <w:rFonts w:ascii="Times New Roman" w:hAnsi="Times New Roman" w:eastAsia="Times New Roman" w:cs="Times New Roman"/>
          <w:color w:val="53565A"/>
          <w:sz w:val="24"/>
          <w:szCs w:val="24"/>
        </w:rPr>
        <w:t xml:space="preserve">. </w:t>
      </w:r>
      <w:proofErr w:type="spellStart"/>
      <w:r w:rsidRPr="35A31DE5" w:rsidR="4A4544F1">
        <w:rPr>
          <w:rFonts w:ascii="Times New Roman" w:hAnsi="Times New Roman" w:eastAsia="Times New Roman" w:cs="Times New Roman"/>
          <w:color w:val="000000" w:themeColor="text1" w:themeTint="FF" w:themeShade="FF"/>
          <w:sz w:val="24"/>
          <w:szCs w:val="24"/>
        </w:rPr>
        <w:t>doi</w:t>
      </w:r>
      <w:proofErr w:type="spellEnd"/>
      <w:r w:rsidRPr="35A31DE5" w:rsidR="4A4544F1">
        <w:rPr>
          <w:rFonts w:ascii="Times New Roman" w:hAnsi="Times New Roman" w:eastAsia="Times New Roman" w:cs="Times New Roman"/>
          <w:color w:val="000000" w:themeColor="text1" w:themeTint="FF" w:themeShade="FF"/>
          <w:sz w:val="24"/>
          <w:szCs w:val="24"/>
        </w:rPr>
        <w:t>: 10.1053/</w:t>
      </w:r>
      <w:proofErr w:type="gramStart"/>
      <w:r w:rsidRPr="35A31DE5" w:rsidR="4A4544F1">
        <w:rPr>
          <w:rFonts w:ascii="Times New Roman" w:hAnsi="Times New Roman" w:eastAsia="Times New Roman" w:cs="Times New Roman"/>
          <w:color w:val="000000" w:themeColor="text1" w:themeTint="FF" w:themeShade="FF"/>
          <w:sz w:val="24"/>
          <w:szCs w:val="24"/>
        </w:rPr>
        <w:t>ajkd.1998.v</w:t>
      </w:r>
      <w:proofErr w:type="gramEnd"/>
      <w:r w:rsidRPr="35A31DE5" w:rsidR="4A4544F1">
        <w:rPr>
          <w:rFonts w:ascii="Times New Roman" w:hAnsi="Times New Roman" w:eastAsia="Times New Roman" w:cs="Times New Roman"/>
          <w:color w:val="000000" w:themeColor="text1" w:themeTint="FF" w:themeShade="FF"/>
          <w:sz w:val="24"/>
          <w:szCs w:val="24"/>
        </w:rPr>
        <w:t>32.pm9708613.</w:t>
      </w:r>
    </w:p>
    <w:p w:rsidR="00335132" w:rsidP="35A31DE5" w:rsidRDefault="00335132" w14:paraId="1EA31A9B" w14:textId="20533187">
      <w:pPr>
        <w:rPr>
          <w:rFonts w:ascii="Times New Roman" w:hAnsi="Times New Roman" w:eastAsia="Times New Roman" w:cs="Times New Roman"/>
          <w:sz w:val="24"/>
          <w:szCs w:val="24"/>
        </w:rPr>
      </w:pPr>
      <w:r w:rsidRPr="35A31DE5" w:rsidR="6B875B36">
        <w:rPr>
          <w:rFonts w:ascii="Times New Roman" w:hAnsi="Times New Roman" w:eastAsia="Times New Roman" w:cs="Times New Roman"/>
          <w:sz w:val="24"/>
          <w:szCs w:val="24"/>
        </w:rPr>
        <w:t xml:space="preserve">12. Danforth KN, Hahn EE, Slezak JM, et al. Follow-up of abnormal estimated GFR results within a large integrated health care delivery system: A mixed-methods study. </w:t>
      </w:r>
      <w:r w:rsidRPr="35A31DE5" w:rsidR="6B875B36">
        <w:rPr>
          <w:rFonts w:ascii="Times New Roman" w:hAnsi="Times New Roman" w:eastAsia="Times New Roman" w:cs="Times New Roman"/>
          <w:i w:val="1"/>
          <w:iCs w:val="1"/>
          <w:sz w:val="24"/>
          <w:szCs w:val="24"/>
        </w:rPr>
        <w:t>American journal of kidney diseases</w:t>
      </w:r>
      <w:r w:rsidRPr="35A31DE5" w:rsidR="6B875B36">
        <w:rPr>
          <w:rFonts w:ascii="Times New Roman" w:hAnsi="Times New Roman" w:eastAsia="Times New Roman" w:cs="Times New Roman"/>
          <w:sz w:val="24"/>
          <w:szCs w:val="24"/>
        </w:rPr>
        <w:t xml:space="preserve">. 2019;74(5):589-600. </w:t>
      </w:r>
      <w:hyperlink r:id="R0796dfc090d74c79">
        <w:r w:rsidRPr="35A31DE5" w:rsidR="6B875B36">
          <w:rPr>
            <w:rStyle w:val="Hyperlink"/>
            <w:rFonts w:ascii="Times New Roman" w:hAnsi="Times New Roman" w:eastAsia="Times New Roman" w:cs="Times New Roman"/>
            <w:color w:val="auto"/>
            <w:sz w:val="24"/>
            <w:szCs w:val="24"/>
          </w:rPr>
          <w:t>https://dx.doi.org/10.1053/j.ajkd.2019.05.003</w:t>
        </w:r>
      </w:hyperlink>
      <w:r w:rsidRPr="35A31DE5" w:rsidR="6B875B36">
        <w:rPr>
          <w:rFonts w:ascii="Times New Roman" w:hAnsi="Times New Roman" w:eastAsia="Times New Roman" w:cs="Times New Roman"/>
          <w:sz w:val="24"/>
          <w:szCs w:val="24"/>
        </w:rPr>
        <w:t xml:space="preserve">. </w:t>
      </w:r>
      <w:proofErr w:type="spellStart"/>
      <w:r w:rsidRPr="35A31DE5" w:rsidR="6B875B36">
        <w:rPr>
          <w:rFonts w:ascii="Times New Roman" w:hAnsi="Times New Roman" w:eastAsia="Times New Roman" w:cs="Times New Roman"/>
          <w:sz w:val="24"/>
          <w:szCs w:val="24"/>
        </w:rPr>
        <w:t>doi</w:t>
      </w:r>
      <w:proofErr w:type="spellEnd"/>
      <w:r w:rsidRPr="35A31DE5" w:rsidR="6B875B36">
        <w:rPr>
          <w:rFonts w:ascii="Times New Roman" w:hAnsi="Times New Roman" w:eastAsia="Times New Roman" w:cs="Times New Roman"/>
          <w:sz w:val="24"/>
          <w:szCs w:val="24"/>
        </w:rPr>
        <w:t>: 10.1053/j.ajkd.2019.05.003.</w:t>
      </w:r>
    </w:p>
    <w:p w:rsidR="4AC735C7" w:rsidP="35A31DE5" w:rsidRDefault="4AC735C7" w14:paraId="023D40B9" w14:textId="5ED4B241">
      <w:pPr>
        <w:rPr>
          <w:rFonts w:ascii="Times New Roman" w:hAnsi="Times New Roman" w:eastAsia="Times New Roman" w:cs="Times New Roman"/>
          <w:color w:val="000000" w:themeColor="text1"/>
          <w:sz w:val="24"/>
          <w:szCs w:val="24"/>
        </w:rPr>
      </w:pPr>
      <w:r w:rsidRPr="35A31DE5" w:rsidR="3A37299A">
        <w:rPr>
          <w:rFonts w:ascii="Times New Roman" w:hAnsi="Times New Roman" w:eastAsia="Times New Roman" w:cs="Times New Roman"/>
          <w:color w:val="000000" w:themeColor="text1" w:themeTint="FF" w:themeShade="FF"/>
          <w:sz w:val="24"/>
          <w:szCs w:val="24"/>
        </w:rPr>
        <w:t xml:space="preserve">13. </w:t>
      </w:r>
      <w:r w:rsidRPr="35A31DE5" w:rsidR="3A37299A">
        <w:rPr>
          <w:rFonts w:ascii="Times New Roman" w:hAnsi="Times New Roman" w:eastAsia="Times New Roman" w:cs="Times New Roman"/>
          <w:color w:val="000000" w:themeColor="text1" w:themeTint="FF" w:themeShade="FF"/>
          <w:sz w:val="24"/>
          <w:szCs w:val="24"/>
        </w:rPr>
        <w:t xml:space="preserve">Quan H, Sundararajan V, Halfon P, et al. Coding algorithms for defining comorbidities in ICD-9-CM and ICD-10 administrative data. </w:t>
      </w:r>
      <w:r w:rsidRPr="35A31DE5" w:rsidR="3A37299A">
        <w:rPr>
          <w:rFonts w:ascii="Times New Roman" w:hAnsi="Times New Roman" w:eastAsia="Times New Roman" w:cs="Times New Roman"/>
          <w:i w:val="1"/>
          <w:iCs w:val="1"/>
          <w:color w:val="000000" w:themeColor="text1" w:themeTint="FF" w:themeShade="FF"/>
          <w:sz w:val="24"/>
          <w:szCs w:val="24"/>
        </w:rPr>
        <w:t>Medical care</w:t>
      </w:r>
      <w:r w:rsidRPr="35A31DE5" w:rsidR="3A37299A">
        <w:rPr>
          <w:rFonts w:ascii="Times New Roman" w:hAnsi="Times New Roman" w:eastAsia="Times New Roman" w:cs="Times New Roman"/>
          <w:color w:val="000000" w:themeColor="text1" w:themeTint="FF" w:themeShade="FF"/>
          <w:sz w:val="24"/>
          <w:szCs w:val="24"/>
        </w:rPr>
        <w:t xml:space="preserve">. 2005;43(11):1130-1139. </w:t>
      </w:r>
      <w:hyperlink r:id="R9ea3577ff4ba4999">
        <w:r w:rsidRPr="35A31DE5" w:rsidR="3A37299A">
          <w:rPr>
            <w:rStyle w:val="Hyperlink"/>
            <w:rFonts w:ascii="Times New Roman" w:hAnsi="Times New Roman" w:eastAsia="Times New Roman" w:cs="Times New Roman"/>
            <w:sz w:val="24"/>
            <w:szCs w:val="24"/>
          </w:rPr>
          <w:t>https://www.jstor.org/stable/3768193</w:t>
        </w:r>
      </w:hyperlink>
      <w:r w:rsidRPr="35A31DE5" w:rsidR="3A37299A">
        <w:rPr>
          <w:rFonts w:ascii="Times New Roman" w:hAnsi="Times New Roman" w:eastAsia="Times New Roman" w:cs="Times New Roman"/>
          <w:color w:val="000000" w:themeColor="text1" w:themeTint="FF" w:themeShade="FF"/>
          <w:sz w:val="24"/>
          <w:szCs w:val="24"/>
        </w:rPr>
        <w:t xml:space="preserve">. </w:t>
      </w:r>
      <w:proofErr w:type="spellStart"/>
      <w:r w:rsidRPr="35A31DE5" w:rsidR="3A37299A">
        <w:rPr>
          <w:rFonts w:ascii="Times New Roman" w:hAnsi="Times New Roman" w:eastAsia="Times New Roman" w:cs="Times New Roman"/>
          <w:color w:val="000000" w:themeColor="text1" w:themeTint="FF" w:themeShade="FF"/>
          <w:sz w:val="24"/>
          <w:szCs w:val="24"/>
        </w:rPr>
        <w:t>doi</w:t>
      </w:r>
      <w:proofErr w:type="spellEnd"/>
      <w:r w:rsidRPr="35A31DE5" w:rsidR="3A37299A">
        <w:rPr>
          <w:rFonts w:ascii="Times New Roman" w:hAnsi="Times New Roman" w:eastAsia="Times New Roman" w:cs="Times New Roman"/>
          <w:color w:val="000000" w:themeColor="text1" w:themeTint="FF" w:themeShade="FF"/>
          <w:sz w:val="24"/>
          <w:szCs w:val="24"/>
        </w:rPr>
        <w:t>: 10.1097/01.mlr.0000182534.19832.83.</w:t>
      </w:r>
    </w:p>
    <w:p w:rsidR="4AC735C7" w:rsidP="4AC735C7" w:rsidRDefault="4AC735C7" w14:paraId="369F85B0" w14:textId="11703910">
      <w:pPr>
        <w:rPr>
          <w:rFonts w:ascii="Times New Roman" w:hAnsi="Times New Roman" w:eastAsia="Times New Roman" w:cs="Times New Roman"/>
          <w:sz w:val="21"/>
          <w:szCs w:val="21"/>
        </w:rPr>
      </w:pPr>
    </w:p>
    <w:p w:rsidR="00410B0B" w:rsidP="5383272C" w:rsidRDefault="00410B0B" w14:paraId="719DE980" w14:textId="7A7A1440">
      <w:pPr>
        <w:rPr>
          <w:rFonts w:ascii="Times New Roman" w:hAnsi="Times New Roman" w:eastAsia="Times New Roman" w:cs="Times New Roman"/>
          <w:sz w:val="21"/>
          <w:szCs w:val="21"/>
        </w:rPr>
      </w:pPr>
    </w:p>
    <w:p w:rsidR="00410B0B" w:rsidP="5383272C" w:rsidRDefault="00410B0B" w14:paraId="4CC2F0DA" w14:textId="4463C30C">
      <w:pPr>
        <w:rPr>
          <w:rFonts w:ascii="Roboto" w:hAnsi="Roboto" w:eastAsia="Roboto" w:cs="Roboto"/>
          <w:color w:val="53565A"/>
          <w:sz w:val="21"/>
          <w:szCs w:val="21"/>
        </w:rPr>
      </w:pPr>
    </w:p>
    <w:p w:rsidR="00410B0B" w:rsidP="5383272C" w:rsidRDefault="00410B0B" w14:paraId="2C078E63" w14:textId="1E5A0F93"/>
    <w:sectPr w:rsidR="00410B0B">
      <w:headerReference w:type="default" r:id="rId49"/>
      <w:footerReference w:type="default" r:id="rId50"/>
      <w:pgSz w:w="12240" w:h="15840" w:orient="portrait"/>
      <w:pgMar w:top="1440" w:right="1152" w:bottom="1440" w:left="1152"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3427" w:rsidRDefault="00733427" w14:paraId="62A4C342" w14:textId="77777777">
      <w:pPr>
        <w:spacing w:after="0" w:line="240" w:lineRule="auto"/>
      </w:pPr>
      <w:r>
        <w:separator/>
      </w:r>
    </w:p>
  </w:endnote>
  <w:endnote w:type="continuationSeparator" w:id="0">
    <w:p w:rsidR="00733427" w:rsidRDefault="00733427" w14:paraId="69380BEB" w14:textId="77777777">
      <w:pPr>
        <w:spacing w:after="0" w:line="240" w:lineRule="auto"/>
      </w:pPr>
      <w:r>
        <w:continuationSeparator/>
      </w:r>
    </w:p>
  </w:endnote>
  <w:endnote w:type="continuationNotice" w:id="1">
    <w:p w:rsidR="008061AD" w:rsidRDefault="008061AD" w14:paraId="3247626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383272C" w:rsidTr="5383272C" w14:paraId="11B6BB7B" w14:textId="77777777">
      <w:tc>
        <w:tcPr>
          <w:tcW w:w="3120" w:type="dxa"/>
        </w:tcPr>
        <w:p w:rsidR="5383272C" w:rsidP="5383272C" w:rsidRDefault="5383272C" w14:paraId="43A131A7" w14:textId="51B00407">
          <w:pPr>
            <w:pStyle w:val="Header"/>
            <w:ind w:left="-115"/>
          </w:pPr>
        </w:p>
      </w:tc>
      <w:tc>
        <w:tcPr>
          <w:tcW w:w="3120" w:type="dxa"/>
        </w:tcPr>
        <w:p w:rsidR="5383272C" w:rsidP="5383272C" w:rsidRDefault="5383272C" w14:paraId="6076F732" w14:textId="1D16FBAC">
          <w:pPr>
            <w:pStyle w:val="Header"/>
            <w:jc w:val="center"/>
          </w:pPr>
        </w:p>
      </w:tc>
      <w:tc>
        <w:tcPr>
          <w:tcW w:w="3120" w:type="dxa"/>
        </w:tcPr>
        <w:p w:rsidR="5383272C" w:rsidP="5383272C" w:rsidRDefault="5383272C" w14:paraId="4C5D29DA" w14:textId="15DA17CC">
          <w:pPr>
            <w:pStyle w:val="Header"/>
            <w:ind w:right="-115"/>
            <w:jc w:val="right"/>
          </w:pPr>
        </w:p>
      </w:tc>
    </w:tr>
  </w:tbl>
  <w:p w:rsidR="5383272C" w:rsidP="5383272C" w:rsidRDefault="5383272C" w14:paraId="264E09FB" w14:textId="4F6FF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3427" w:rsidRDefault="00733427" w14:paraId="73B125BF" w14:textId="77777777">
      <w:pPr>
        <w:spacing w:after="0" w:line="240" w:lineRule="auto"/>
      </w:pPr>
      <w:r>
        <w:separator/>
      </w:r>
    </w:p>
  </w:footnote>
  <w:footnote w:type="continuationSeparator" w:id="0">
    <w:p w:rsidR="00733427" w:rsidRDefault="00733427" w14:paraId="5BFEF3BF" w14:textId="77777777">
      <w:pPr>
        <w:spacing w:after="0" w:line="240" w:lineRule="auto"/>
      </w:pPr>
      <w:r>
        <w:continuationSeparator/>
      </w:r>
    </w:p>
  </w:footnote>
  <w:footnote w:type="continuationNotice" w:id="1">
    <w:p w:rsidR="008061AD" w:rsidRDefault="008061AD" w14:paraId="61BD12F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383272C" w:rsidTr="5383272C" w14:paraId="387B7266" w14:textId="77777777">
      <w:tc>
        <w:tcPr>
          <w:tcW w:w="3120" w:type="dxa"/>
        </w:tcPr>
        <w:p w:rsidR="5383272C" w:rsidP="5383272C" w:rsidRDefault="5383272C" w14:paraId="39C4BCC5" w14:textId="0F970B1D">
          <w:pPr>
            <w:pStyle w:val="Header"/>
            <w:ind w:left="-115"/>
          </w:pPr>
        </w:p>
      </w:tc>
      <w:tc>
        <w:tcPr>
          <w:tcW w:w="3120" w:type="dxa"/>
        </w:tcPr>
        <w:p w:rsidR="5383272C" w:rsidP="5383272C" w:rsidRDefault="5383272C" w14:paraId="7301838C" w14:textId="260371D9">
          <w:pPr>
            <w:pStyle w:val="Header"/>
            <w:jc w:val="center"/>
          </w:pPr>
        </w:p>
      </w:tc>
      <w:tc>
        <w:tcPr>
          <w:tcW w:w="3120" w:type="dxa"/>
        </w:tcPr>
        <w:p w:rsidR="5383272C" w:rsidP="5383272C" w:rsidRDefault="5383272C" w14:paraId="08B9EA7C" w14:textId="51BA6494">
          <w:pPr>
            <w:pStyle w:val="Header"/>
            <w:ind w:right="-115"/>
            <w:jc w:val="right"/>
          </w:pPr>
        </w:p>
      </w:tc>
    </w:tr>
  </w:tbl>
  <w:p w:rsidR="5383272C" w:rsidP="5383272C" w:rsidRDefault="5383272C" w14:paraId="1BE2B66B" w14:textId="2D6F9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09CD"/>
    <w:multiLevelType w:val="hybridMultilevel"/>
    <w:tmpl w:val="4132AEC8"/>
    <w:lvl w:ilvl="0" w:tplc="CE040214">
      <w:start w:val="1"/>
      <w:numFmt w:val="bullet"/>
      <w:lvlText w:val="·"/>
      <w:lvlJc w:val="left"/>
      <w:pPr>
        <w:ind w:left="1440" w:hanging="360"/>
      </w:pPr>
      <w:rPr>
        <w:rFonts w:hint="default" w:ascii="Symbol" w:hAnsi="Symbol"/>
      </w:rPr>
    </w:lvl>
    <w:lvl w:ilvl="1" w:tplc="11A0971E">
      <w:start w:val="1"/>
      <w:numFmt w:val="bullet"/>
      <w:lvlText w:val="o"/>
      <w:lvlJc w:val="left"/>
      <w:pPr>
        <w:ind w:left="2160" w:hanging="360"/>
      </w:pPr>
      <w:rPr>
        <w:rFonts w:hint="default" w:ascii="&quot;Courier New&quot;" w:hAnsi="&quot;Courier New&quot;"/>
      </w:rPr>
    </w:lvl>
    <w:lvl w:ilvl="2" w:tplc="CEFC2ED2">
      <w:start w:val="1"/>
      <w:numFmt w:val="bullet"/>
      <w:lvlText w:val=""/>
      <w:lvlJc w:val="left"/>
      <w:pPr>
        <w:ind w:left="2880" w:hanging="360"/>
      </w:pPr>
      <w:rPr>
        <w:rFonts w:hint="default" w:ascii="Wingdings" w:hAnsi="Wingdings"/>
      </w:rPr>
    </w:lvl>
    <w:lvl w:ilvl="3" w:tplc="8F5EAE2E">
      <w:start w:val="1"/>
      <w:numFmt w:val="bullet"/>
      <w:lvlText w:val=""/>
      <w:lvlJc w:val="left"/>
      <w:pPr>
        <w:ind w:left="3600" w:hanging="360"/>
      </w:pPr>
      <w:rPr>
        <w:rFonts w:hint="default" w:ascii="Symbol" w:hAnsi="Symbol"/>
      </w:rPr>
    </w:lvl>
    <w:lvl w:ilvl="4" w:tplc="BD865E04">
      <w:start w:val="1"/>
      <w:numFmt w:val="bullet"/>
      <w:lvlText w:val="o"/>
      <w:lvlJc w:val="left"/>
      <w:pPr>
        <w:ind w:left="4320" w:hanging="360"/>
      </w:pPr>
      <w:rPr>
        <w:rFonts w:hint="default" w:ascii="Courier New" w:hAnsi="Courier New"/>
      </w:rPr>
    </w:lvl>
    <w:lvl w:ilvl="5" w:tplc="2EF4ABB6">
      <w:start w:val="1"/>
      <w:numFmt w:val="bullet"/>
      <w:lvlText w:val=""/>
      <w:lvlJc w:val="left"/>
      <w:pPr>
        <w:ind w:left="5040" w:hanging="360"/>
      </w:pPr>
      <w:rPr>
        <w:rFonts w:hint="default" w:ascii="Wingdings" w:hAnsi="Wingdings"/>
      </w:rPr>
    </w:lvl>
    <w:lvl w:ilvl="6" w:tplc="F4DE6E52">
      <w:start w:val="1"/>
      <w:numFmt w:val="bullet"/>
      <w:lvlText w:val=""/>
      <w:lvlJc w:val="left"/>
      <w:pPr>
        <w:ind w:left="5760" w:hanging="360"/>
      </w:pPr>
      <w:rPr>
        <w:rFonts w:hint="default" w:ascii="Symbol" w:hAnsi="Symbol"/>
      </w:rPr>
    </w:lvl>
    <w:lvl w:ilvl="7" w:tplc="D7D217D6">
      <w:start w:val="1"/>
      <w:numFmt w:val="bullet"/>
      <w:lvlText w:val="o"/>
      <w:lvlJc w:val="left"/>
      <w:pPr>
        <w:ind w:left="6480" w:hanging="360"/>
      </w:pPr>
      <w:rPr>
        <w:rFonts w:hint="default" w:ascii="Courier New" w:hAnsi="Courier New"/>
      </w:rPr>
    </w:lvl>
    <w:lvl w:ilvl="8" w:tplc="C8F4EE3E">
      <w:start w:val="1"/>
      <w:numFmt w:val="bullet"/>
      <w:lvlText w:val=""/>
      <w:lvlJc w:val="left"/>
      <w:pPr>
        <w:ind w:left="7200" w:hanging="360"/>
      </w:pPr>
      <w:rPr>
        <w:rFonts w:hint="default" w:ascii="Wingdings" w:hAnsi="Wingdings"/>
      </w:rPr>
    </w:lvl>
  </w:abstractNum>
  <w:abstractNum w:abstractNumId="1" w15:restartNumberingAfterBreak="0">
    <w:nsid w:val="13D14A66"/>
    <w:multiLevelType w:val="hybridMultilevel"/>
    <w:tmpl w:val="117E6F7C"/>
    <w:lvl w:ilvl="0" w:tplc="82044F94">
      <w:start w:val="1"/>
      <w:numFmt w:val="lowerLetter"/>
      <w:lvlText w:val="%1."/>
      <w:lvlJc w:val="left"/>
      <w:pPr>
        <w:ind w:left="720" w:hanging="360"/>
      </w:pPr>
    </w:lvl>
    <w:lvl w:ilvl="1" w:tplc="5B1A6C46">
      <w:start w:val="1"/>
      <w:numFmt w:val="lowerLetter"/>
      <w:lvlText w:val="%2."/>
      <w:lvlJc w:val="left"/>
      <w:pPr>
        <w:ind w:left="1440" w:hanging="360"/>
      </w:pPr>
    </w:lvl>
    <w:lvl w:ilvl="2" w:tplc="52948AC6">
      <w:start w:val="1"/>
      <w:numFmt w:val="lowerRoman"/>
      <w:lvlText w:val="%3."/>
      <w:lvlJc w:val="right"/>
      <w:pPr>
        <w:ind w:left="2160" w:hanging="180"/>
      </w:pPr>
    </w:lvl>
    <w:lvl w:ilvl="3" w:tplc="58BED100">
      <w:start w:val="1"/>
      <w:numFmt w:val="decimal"/>
      <w:lvlText w:val="%4."/>
      <w:lvlJc w:val="left"/>
      <w:pPr>
        <w:ind w:left="2880" w:hanging="360"/>
      </w:pPr>
    </w:lvl>
    <w:lvl w:ilvl="4" w:tplc="7F6E3AC8">
      <w:start w:val="1"/>
      <w:numFmt w:val="lowerLetter"/>
      <w:lvlText w:val="%5."/>
      <w:lvlJc w:val="left"/>
      <w:pPr>
        <w:ind w:left="3600" w:hanging="360"/>
      </w:pPr>
    </w:lvl>
    <w:lvl w:ilvl="5" w:tplc="7B36337C">
      <w:start w:val="1"/>
      <w:numFmt w:val="lowerRoman"/>
      <w:lvlText w:val="%6."/>
      <w:lvlJc w:val="right"/>
      <w:pPr>
        <w:ind w:left="4320" w:hanging="180"/>
      </w:pPr>
    </w:lvl>
    <w:lvl w:ilvl="6" w:tplc="7744FBFE">
      <w:start w:val="1"/>
      <w:numFmt w:val="decimal"/>
      <w:lvlText w:val="%7."/>
      <w:lvlJc w:val="left"/>
      <w:pPr>
        <w:ind w:left="5040" w:hanging="360"/>
      </w:pPr>
    </w:lvl>
    <w:lvl w:ilvl="7" w:tplc="CC14A964">
      <w:start w:val="1"/>
      <w:numFmt w:val="lowerLetter"/>
      <w:lvlText w:val="%8."/>
      <w:lvlJc w:val="left"/>
      <w:pPr>
        <w:ind w:left="5760" w:hanging="360"/>
      </w:pPr>
    </w:lvl>
    <w:lvl w:ilvl="8" w:tplc="E6FA8A40">
      <w:start w:val="1"/>
      <w:numFmt w:val="lowerRoman"/>
      <w:lvlText w:val="%9."/>
      <w:lvlJc w:val="right"/>
      <w:pPr>
        <w:ind w:left="6480" w:hanging="180"/>
      </w:pPr>
    </w:lvl>
  </w:abstractNum>
  <w:abstractNum w:abstractNumId="2" w15:restartNumberingAfterBreak="0">
    <w:nsid w:val="1529EA51"/>
    <w:multiLevelType w:val="hybridMultilevel"/>
    <w:tmpl w:val="EC2E6936"/>
    <w:lvl w:ilvl="0" w:tplc="C4BE23B2">
      <w:start w:val="1"/>
      <w:numFmt w:val="lowerLetter"/>
      <w:lvlText w:val="%1."/>
      <w:lvlJc w:val="left"/>
      <w:pPr>
        <w:ind w:left="720" w:hanging="360"/>
      </w:pPr>
    </w:lvl>
    <w:lvl w:ilvl="1" w:tplc="E1866962">
      <w:start w:val="1"/>
      <w:numFmt w:val="lowerLetter"/>
      <w:lvlText w:val="%2."/>
      <w:lvlJc w:val="left"/>
      <w:pPr>
        <w:ind w:left="1440" w:hanging="360"/>
      </w:pPr>
    </w:lvl>
    <w:lvl w:ilvl="2" w:tplc="4FC47464">
      <w:start w:val="1"/>
      <w:numFmt w:val="lowerRoman"/>
      <w:lvlText w:val="%3."/>
      <w:lvlJc w:val="right"/>
      <w:pPr>
        <w:ind w:left="2160" w:hanging="180"/>
      </w:pPr>
    </w:lvl>
    <w:lvl w:ilvl="3" w:tplc="BBE03624">
      <w:start w:val="1"/>
      <w:numFmt w:val="decimal"/>
      <w:lvlText w:val="%4."/>
      <w:lvlJc w:val="left"/>
      <w:pPr>
        <w:ind w:left="2880" w:hanging="360"/>
      </w:pPr>
    </w:lvl>
    <w:lvl w:ilvl="4" w:tplc="816CABAE">
      <w:start w:val="1"/>
      <w:numFmt w:val="lowerLetter"/>
      <w:lvlText w:val="%5."/>
      <w:lvlJc w:val="left"/>
      <w:pPr>
        <w:ind w:left="3600" w:hanging="360"/>
      </w:pPr>
    </w:lvl>
    <w:lvl w:ilvl="5" w:tplc="B24A5718">
      <w:start w:val="1"/>
      <w:numFmt w:val="lowerRoman"/>
      <w:lvlText w:val="%6."/>
      <w:lvlJc w:val="right"/>
      <w:pPr>
        <w:ind w:left="4320" w:hanging="180"/>
      </w:pPr>
    </w:lvl>
    <w:lvl w:ilvl="6" w:tplc="A370A8A6">
      <w:start w:val="1"/>
      <w:numFmt w:val="decimal"/>
      <w:lvlText w:val="%7."/>
      <w:lvlJc w:val="left"/>
      <w:pPr>
        <w:ind w:left="5040" w:hanging="360"/>
      </w:pPr>
    </w:lvl>
    <w:lvl w:ilvl="7" w:tplc="832CA932">
      <w:start w:val="1"/>
      <w:numFmt w:val="lowerLetter"/>
      <w:lvlText w:val="%8."/>
      <w:lvlJc w:val="left"/>
      <w:pPr>
        <w:ind w:left="5760" w:hanging="360"/>
      </w:pPr>
    </w:lvl>
    <w:lvl w:ilvl="8" w:tplc="87F8A64A">
      <w:start w:val="1"/>
      <w:numFmt w:val="lowerRoman"/>
      <w:lvlText w:val="%9."/>
      <w:lvlJc w:val="right"/>
      <w:pPr>
        <w:ind w:left="6480" w:hanging="180"/>
      </w:pPr>
    </w:lvl>
  </w:abstractNum>
  <w:abstractNum w:abstractNumId="3" w15:restartNumberingAfterBreak="0">
    <w:nsid w:val="1B106F93"/>
    <w:multiLevelType w:val="hybridMultilevel"/>
    <w:tmpl w:val="13947A98"/>
    <w:lvl w:ilvl="0" w:tplc="C052805C">
      <w:start w:val="1"/>
      <w:numFmt w:val="decimal"/>
      <w:lvlText w:val="%1."/>
      <w:lvlJc w:val="left"/>
      <w:pPr>
        <w:ind w:left="720" w:hanging="360"/>
      </w:pPr>
    </w:lvl>
    <w:lvl w:ilvl="1" w:tplc="E856AB80">
      <w:start w:val="1"/>
      <w:numFmt w:val="lowerLetter"/>
      <w:lvlText w:val="%2."/>
      <w:lvlJc w:val="left"/>
      <w:pPr>
        <w:ind w:left="1440" w:hanging="360"/>
      </w:pPr>
    </w:lvl>
    <w:lvl w:ilvl="2" w:tplc="BC7A4228">
      <w:start w:val="1"/>
      <w:numFmt w:val="lowerRoman"/>
      <w:lvlText w:val="%3."/>
      <w:lvlJc w:val="right"/>
      <w:pPr>
        <w:ind w:left="2160" w:hanging="180"/>
      </w:pPr>
    </w:lvl>
    <w:lvl w:ilvl="3" w:tplc="88A6D374">
      <w:start w:val="1"/>
      <w:numFmt w:val="decimal"/>
      <w:lvlText w:val="%4."/>
      <w:lvlJc w:val="left"/>
      <w:pPr>
        <w:ind w:left="2880" w:hanging="360"/>
      </w:pPr>
    </w:lvl>
    <w:lvl w:ilvl="4" w:tplc="8E60A3C8">
      <w:start w:val="1"/>
      <w:numFmt w:val="lowerLetter"/>
      <w:lvlText w:val="%5."/>
      <w:lvlJc w:val="left"/>
      <w:pPr>
        <w:ind w:left="3600" w:hanging="360"/>
      </w:pPr>
    </w:lvl>
    <w:lvl w:ilvl="5" w:tplc="CF84A456">
      <w:start w:val="1"/>
      <w:numFmt w:val="lowerRoman"/>
      <w:lvlText w:val="%6."/>
      <w:lvlJc w:val="right"/>
      <w:pPr>
        <w:ind w:left="4320" w:hanging="180"/>
      </w:pPr>
    </w:lvl>
    <w:lvl w:ilvl="6" w:tplc="F7D2DE6A">
      <w:start w:val="1"/>
      <w:numFmt w:val="decimal"/>
      <w:lvlText w:val="%7."/>
      <w:lvlJc w:val="left"/>
      <w:pPr>
        <w:ind w:left="5040" w:hanging="360"/>
      </w:pPr>
    </w:lvl>
    <w:lvl w:ilvl="7" w:tplc="36D26744">
      <w:start w:val="1"/>
      <w:numFmt w:val="lowerLetter"/>
      <w:lvlText w:val="%8."/>
      <w:lvlJc w:val="left"/>
      <w:pPr>
        <w:ind w:left="5760" w:hanging="360"/>
      </w:pPr>
    </w:lvl>
    <w:lvl w:ilvl="8" w:tplc="279E48B0">
      <w:start w:val="1"/>
      <w:numFmt w:val="lowerRoman"/>
      <w:lvlText w:val="%9."/>
      <w:lvlJc w:val="right"/>
      <w:pPr>
        <w:ind w:left="6480" w:hanging="180"/>
      </w:pPr>
    </w:lvl>
  </w:abstractNum>
  <w:abstractNum w:abstractNumId="4" w15:restartNumberingAfterBreak="0">
    <w:nsid w:val="38CFB404"/>
    <w:multiLevelType w:val="hybridMultilevel"/>
    <w:tmpl w:val="4948CF4C"/>
    <w:lvl w:ilvl="0" w:tplc="4D9CE2AA">
      <w:start w:val="1"/>
      <w:numFmt w:val="lowerLetter"/>
      <w:lvlText w:val="%1."/>
      <w:lvlJc w:val="left"/>
      <w:pPr>
        <w:ind w:left="720" w:hanging="360"/>
      </w:pPr>
    </w:lvl>
    <w:lvl w:ilvl="1" w:tplc="2DB2833C">
      <w:start w:val="1"/>
      <w:numFmt w:val="lowerLetter"/>
      <w:lvlText w:val="%2."/>
      <w:lvlJc w:val="left"/>
      <w:pPr>
        <w:ind w:left="1440" w:hanging="360"/>
      </w:pPr>
    </w:lvl>
    <w:lvl w:ilvl="2" w:tplc="187A59E6">
      <w:start w:val="1"/>
      <w:numFmt w:val="lowerRoman"/>
      <w:lvlText w:val="%3."/>
      <w:lvlJc w:val="right"/>
      <w:pPr>
        <w:ind w:left="2160" w:hanging="180"/>
      </w:pPr>
    </w:lvl>
    <w:lvl w:ilvl="3" w:tplc="66DCA4A8">
      <w:start w:val="1"/>
      <w:numFmt w:val="decimal"/>
      <w:lvlText w:val="%4."/>
      <w:lvlJc w:val="left"/>
      <w:pPr>
        <w:ind w:left="2880" w:hanging="360"/>
      </w:pPr>
    </w:lvl>
    <w:lvl w:ilvl="4" w:tplc="453C9954">
      <w:start w:val="1"/>
      <w:numFmt w:val="lowerLetter"/>
      <w:lvlText w:val="%5."/>
      <w:lvlJc w:val="left"/>
      <w:pPr>
        <w:ind w:left="3600" w:hanging="360"/>
      </w:pPr>
    </w:lvl>
    <w:lvl w:ilvl="5" w:tplc="B330CA52">
      <w:start w:val="1"/>
      <w:numFmt w:val="lowerRoman"/>
      <w:lvlText w:val="%6."/>
      <w:lvlJc w:val="right"/>
      <w:pPr>
        <w:ind w:left="4320" w:hanging="180"/>
      </w:pPr>
    </w:lvl>
    <w:lvl w:ilvl="6" w:tplc="46160C2A">
      <w:start w:val="1"/>
      <w:numFmt w:val="decimal"/>
      <w:lvlText w:val="%7."/>
      <w:lvlJc w:val="left"/>
      <w:pPr>
        <w:ind w:left="5040" w:hanging="360"/>
      </w:pPr>
    </w:lvl>
    <w:lvl w:ilvl="7" w:tplc="1452F3DA">
      <w:start w:val="1"/>
      <w:numFmt w:val="lowerLetter"/>
      <w:lvlText w:val="%8."/>
      <w:lvlJc w:val="left"/>
      <w:pPr>
        <w:ind w:left="5760" w:hanging="360"/>
      </w:pPr>
    </w:lvl>
    <w:lvl w:ilvl="8" w:tplc="9DCE9776">
      <w:start w:val="1"/>
      <w:numFmt w:val="lowerRoman"/>
      <w:lvlText w:val="%9."/>
      <w:lvlJc w:val="right"/>
      <w:pPr>
        <w:ind w:left="6480" w:hanging="180"/>
      </w:pPr>
    </w:lvl>
  </w:abstractNum>
  <w:abstractNum w:abstractNumId="5" w15:restartNumberingAfterBreak="0">
    <w:nsid w:val="3A56F9CE"/>
    <w:multiLevelType w:val="hybridMultilevel"/>
    <w:tmpl w:val="A2B0C632"/>
    <w:lvl w:ilvl="0" w:tplc="0B68F5EC">
      <w:start w:val="1"/>
      <w:numFmt w:val="decimal"/>
      <w:lvlText w:val="(%1)"/>
      <w:lvlJc w:val="left"/>
      <w:pPr>
        <w:ind w:left="720" w:hanging="360"/>
      </w:pPr>
    </w:lvl>
    <w:lvl w:ilvl="1" w:tplc="2A6616B4">
      <w:start w:val="1"/>
      <w:numFmt w:val="lowerLetter"/>
      <w:lvlText w:val="%2."/>
      <w:lvlJc w:val="left"/>
      <w:pPr>
        <w:ind w:left="1440" w:hanging="360"/>
      </w:pPr>
    </w:lvl>
    <w:lvl w:ilvl="2" w:tplc="65D4E192">
      <w:start w:val="1"/>
      <w:numFmt w:val="lowerRoman"/>
      <w:lvlText w:val="%3."/>
      <w:lvlJc w:val="right"/>
      <w:pPr>
        <w:ind w:left="2160" w:hanging="180"/>
      </w:pPr>
    </w:lvl>
    <w:lvl w:ilvl="3" w:tplc="17E4E854">
      <w:start w:val="1"/>
      <w:numFmt w:val="decimal"/>
      <w:lvlText w:val="%4."/>
      <w:lvlJc w:val="left"/>
      <w:pPr>
        <w:ind w:left="2880" w:hanging="360"/>
      </w:pPr>
    </w:lvl>
    <w:lvl w:ilvl="4" w:tplc="6D6C60D0">
      <w:start w:val="1"/>
      <w:numFmt w:val="lowerLetter"/>
      <w:lvlText w:val="%5."/>
      <w:lvlJc w:val="left"/>
      <w:pPr>
        <w:ind w:left="3600" w:hanging="360"/>
      </w:pPr>
    </w:lvl>
    <w:lvl w:ilvl="5" w:tplc="98AEF32E">
      <w:start w:val="1"/>
      <w:numFmt w:val="lowerRoman"/>
      <w:lvlText w:val="%6."/>
      <w:lvlJc w:val="right"/>
      <w:pPr>
        <w:ind w:left="4320" w:hanging="180"/>
      </w:pPr>
    </w:lvl>
    <w:lvl w:ilvl="6" w:tplc="D7FC7A1E">
      <w:start w:val="1"/>
      <w:numFmt w:val="decimal"/>
      <w:lvlText w:val="%7."/>
      <w:lvlJc w:val="left"/>
      <w:pPr>
        <w:ind w:left="5040" w:hanging="360"/>
      </w:pPr>
    </w:lvl>
    <w:lvl w:ilvl="7" w:tplc="6ABC15AE">
      <w:start w:val="1"/>
      <w:numFmt w:val="lowerLetter"/>
      <w:lvlText w:val="%8."/>
      <w:lvlJc w:val="left"/>
      <w:pPr>
        <w:ind w:left="5760" w:hanging="360"/>
      </w:pPr>
    </w:lvl>
    <w:lvl w:ilvl="8" w:tplc="0CAEE94C">
      <w:start w:val="1"/>
      <w:numFmt w:val="lowerRoman"/>
      <w:lvlText w:val="%9."/>
      <w:lvlJc w:val="right"/>
      <w:pPr>
        <w:ind w:left="6480" w:hanging="180"/>
      </w:pPr>
    </w:lvl>
  </w:abstractNum>
  <w:abstractNum w:abstractNumId="6" w15:restartNumberingAfterBreak="0">
    <w:nsid w:val="3B91B41D"/>
    <w:multiLevelType w:val="hybridMultilevel"/>
    <w:tmpl w:val="BB98673E"/>
    <w:lvl w:ilvl="0" w:tplc="39CA5A3A">
      <w:start w:val="1"/>
      <w:numFmt w:val="decimal"/>
      <w:lvlText w:val="%1."/>
      <w:lvlJc w:val="left"/>
      <w:pPr>
        <w:ind w:left="720" w:hanging="360"/>
      </w:pPr>
    </w:lvl>
    <w:lvl w:ilvl="1" w:tplc="F66C4B48">
      <w:start w:val="1"/>
      <w:numFmt w:val="decimal"/>
      <w:lvlText w:val="%2."/>
      <w:lvlJc w:val="left"/>
      <w:pPr>
        <w:ind w:left="1440" w:hanging="360"/>
      </w:pPr>
    </w:lvl>
    <w:lvl w:ilvl="2" w:tplc="881ACAE2">
      <w:start w:val="1"/>
      <w:numFmt w:val="bullet"/>
      <w:lvlText w:val="·"/>
      <w:lvlJc w:val="left"/>
      <w:pPr>
        <w:ind w:left="2160" w:hanging="180"/>
      </w:pPr>
      <w:rPr>
        <w:rFonts w:hint="default" w:ascii="Symbol" w:hAnsi="Symbol"/>
      </w:rPr>
    </w:lvl>
    <w:lvl w:ilvl="3" w:tplc="DC0EA550">
      <w:start w:val="1"/>
      <w:numFmt w:val="decimal"/>
      <w:lvlText w:val="%4."/>
      <w:lvlJc w:val="left"/>
      <w:pPr>
        <w:ind w:left="2880" w:hanging="360"/>
      </w:pPr>
    </w:lvl>
    <w:lvl w:ilvl="4" w:tplc="57EA010C">
      <w:start w:val="1"/>
      <w:numFmt w:val="lowerLetter"/>
      <w:lvlText w:val="%5."/>
      <w:lvlJc w:val="left"/>
      <w:pPr>
        <w:ind w:left="3600" w:hanging="360"/>
      </w:pPr>
    </w:lvl>
    <w:lvl w:ilvl="5" w:tplc="A6569D32">
      <w:start w:val="1"/>
      <w:numFmt w:val="lowerRoman"/>
      <w:lvlText w:val="%6."/>
      <w:lvlJc w:val="right"/>
      <w:pPr>
        <w:ind w:left="4320" w:hanging="180"/>
      </w:pPr>
    </w:lvl>
    <w:lvl w:ilvl="6" w:tplc="03FE6954">
      <w:start w:val="1"/>
      <w:numFmt w:val="decimal"/>
      <w:lvlText w:val="%7."/>
      <w:lvlJc w:val="left"/>
      <w:pPr>
        <w:ind w:left="5040" w:hanging="360"/>
      </w:pPr>
    </w:lvl>
    <w:lvl w:ilvl="7" w:tplc="54107640">
      <w:start w:val="1"/>
      <w:numFmt w:val="lowerLetter"/>
      <w:lvlText w:val="%8."/>
      <w:lvlJc w:val="left"/>
      <w:pPr>
        <w:ind w:left="5760" w:hanging="360"/>
      </w:pPr>
    </w:lvl>
    <w:lvl w:ilvl="8" w:tplc="DACC6928">
      <w:start w:val="1"/>
      <w:numFmt w:val="lowerRoman"/>
      <w:lvlText w:val="%9."/>
      <w:lvlJc w:val="right"/>
      <w:pPr>
        <w:ind w:left="6480" w:hanging="180"/>
      </w:pPr>
    </w:lvl>
  </w:abstractNum>
  <w:abstractNum w:abstractNumId="7" w15:restartNumberingAfterBreak="0">
    <w:nsid w:val="3CDD78A5"/>
    <w:multiLevelType w:val="hybridMultilevel"/>
    <w:tmpl w:val="DE0298C6"/>
    <w:lvl w:ilvl="0" w:tplc="6FDCD8E4">
      <w:start w:val="1"/>
      <w:numFmt w:val="bullet"/>
      <w:lvlText w:val="·"/>
      <w:lvlJc w:val="left"/>
      <w:pPr>
        <w:ind w:left="1440" w:hanging="360"/>
      </w:pPr>
      <w:rPr>
        <w:rFonts w:hint="default" w:ascii="Symbol" w:hAnsi="Symbol"/>
      </w:rPr>
    </w:lvl>
    <w:lvl w:ilvl="1" w:tplc="53CC3870">
      <w:start w:val="1"/>
      <w:numFmt w:val="bullet"/>
      <w:lvlText w:val="o"/>
      <w:lvlJc w:val="left"/>
      <w:pPr>
        <w:ind w:left="2160" w:hanging="360"/>
      </w:pPr>
      <w:rPr>
        <w:rFonts w:hint="default" w:ascii="Courier New" w:hAnsi="Courier New"/>
      </w:rPr>
    </w:lvl>
    <w:lvl w:ilvl="2" w:tplc="8F5E6C34">
      <w:start w:val="1"/>
      <w:numFmt w:val="bullet"/>
      <w:lvlText w:val=""/>
      <w:lvlJc w:val="left"/>
      <w:pPr>
        <w:ind w:left="2880" w:hanging="360"/>
      </w:pPr>
      <w:rPr>
        <w:rFonts w:hint="default" w:ascii="Wingdings" w:hAnsi="Wingdings"/>
      </w:rPr>
    </w:lvl>
    <w:lvl w:ilvl="3" w:tplc="689A5F20">
      <w:start w:val="1"/>
      <w:numFmt w:val="bullet"/>
      <w:lvlText w:val=""/>
      <w:lvlJc w:val="left"/>
      <w:pPr>
        <w:ind w:left="3600" w:hanging="360"/>
      </w:pPr>
      <w:rPr>
        <w:rFonts w:hint="default" w:ascii="Symbol" w:hAnsi="Symbol"/>
      </w:rPr>
    </w:lvl>
    <w:lvl w:ilvl="4" w:tplc="BE1CC6A8">
      <w:start w:val="1"/>
      <w:numFmt w:val="bullet"/>
      <w:lvlText w:val="o"/>
      <w:lvlJc w:val="left"/>
      <w:pPr>
        <w:ind w:left="4320" w:hanging="360"/>
      </w:pPr>
      <w:rPr>
        <w:rFonts w:hint="default" w:ascii="Courier New" w:hAnsi="Courier New"/>
      </w:rPr>
    </w:lvl>
    <w:lvl w:ilvl="5" w:tplc="B5EE0DC2">
      <w:start w:val="1"/>
      <w:numFmt w:val="bullet"/>
      <w:lvlText w:val=""/>
      <w:lvlJc w:val="left"/>
      <w:pPr>
        <w:ind w:left="5040" w:hanging="360"/>
      </w:pPr>
      <w:rPr>
        <w:rFonts w:hint="default" w:ascii="Wingdings" w:hAnsi="Wingdings"/>
      </w:rPr>
    </w:lvl>
    <w:lvl w:ilvl="6" w:tplc="15B411C6">
      <w:start w:val="1"/>
      <w:numFmt w:val="bullet"/>
      <w:lvlText w:val=""/>
      <w:lvlJc w:val="left"/>
      <w:pPr>
        <w:ind w:left="5760" w:hanging="360"/>
      </w:pPr>
      <w:rPr>
        <w:rFonts w:hint="default" w:ascii="Symbol" w:hAnsi="Symbol"/>
      </w:rPr>
    </w:lvl>
    <w:lvl w:ilvl="7" w:tplc="3D789FD6">
      <w:start w:val="1"/>
      <w:numFmt w:val="bullet"/>
      <w:lvlText w:val="o"/>
      <w:lvlJc w:val="left"/>
      <w:pPr>
        <w:ind w:left="6480" w:hanging="360"/>
      </w:pPr>
      <w:rPr>
        <w:rFonts w:hint="default" w:ascii="Courier New" w:hAnsi="Courier New"/>
      </w:rPr>
    </w:lvl>
    <w:lvl w:ilvl="8" w:tplc="607AB4F2">
      <w:start w:val="1"/>
      <w:numFmt w:val="bullet"/>
      <w:lvlText w:val=""/>
      <w:lvlJc w:val="left"/>
      <w:pPr>
        <w:ind w:left="7200" w:hanging="360"/>
      </w:pPr>
      <w:rPr>
        <w:rFonts w:hint="default" w:ascii="Wingdings" w:hAnsi="Wingdings"/>
      </w:rPr>
    </w:lvl>
  </w:abstractNum>
  <w:abstractNum w:abstractNumId="8" w15:restartNumberingAfterBreak="0">
    <w:nsid w:val="47FBCB83"/>
    <w:multiLevelType w:val="hybridMultilevel"/>
    <w:tmpl w:val="A456E526"/>
    <w:lvl w:ilvl="0" w:tplc="A418BEA8">
      <w:start w:val="1"/>
      <w:numFmt w:val="lowerLetter"/>
      <w:lvlText w:val="%1."/>
      <w:lvlJc w:val="left"/>
      <w:pPr>
        <w:ind w:left="720" w:hanging="360"/>
      </w:pPr>
    </w:lvl>
    <w:lvl w:ilvl="1" w:tplc="CFEC24DC">
      <w:start w:val="1"/>
      <w:numFmt w:val="lowerLetter"/>
      <w:lvlText w:val="%2."/>
      <w:lvlJc w:val="left"/>
      <w:pPr>
        <w:ind w:left="1440" w:hanging="360"/>
      </w:pPr>
    </w:lvl>
    <w:lvl w:ilvl="2" w:tplc="518CD096">
      <w:start w:val="1"/>
      <w:numFmt w:val="lowerRoman"/>
      <w:lvlText w:val="%3."/>
      <w:lvlJc w:val="right"/>
      <w:pPr>
        <w:ind w:left="2160" w:hanging="180"/>
      </w:pPr>
    </w:lvl>
    <w:lvl w:ilvl="3" w:tplc="A4086A6C">
      <w:start w:val="1"/>
      <w:numFmt w:val="decimal"/>
      <w:lvlText w:val="%4."/>
      <w:lvlJc w:val="left"/>
      <w:pPr>
        <w:ind w:left="2880" w:hanging="360"/>
      </w:pPr>
    </w:lvl>
    <w:lvl w:ilvl="4" w:tplc="255482F4">
      <w:start w:val="1"/>
      <w:numFmt w:val="lowerLetter"/>
      <w:lvlText w:val="%5."/>
      <w:lvlJc w:val="left"/>
      <w:pPr>
        <w:ind w:left="3600" w:hanging="360"/>
      </w:pPr>
    </w:lvl>
    <w:lvl w:ilvl="5" w:tplc="595EC0C2">
      <w:start w:val="1"/>
      <w:numFmt w:val="lowerRoman"/>
      <w:lvlText w:val="%6."/>
      <w:lvlJc w:val="right"/>
      <w:pPr>
        <w:ind w:left="4320" w:hanging="180"/>
      </w:pPr>
    </w:lvl>
    <w:lvl w:ilvl="6" w:tplc="48E03A74">
      <w:start w:val="1"/>
      <w:numFmt w:val="decimal"/>
      <w:lvlText w:val="%7."/>
      <w:lvlJc w:val="left"/>
      <w:pPr>
        <w:ind w:left="5040" w:hanging="360"/>
      </w:pPr>
    </w:lvl>
    <w:lvl w:ilvl="7" w:tplc="C5D62E62">
      <w:start w:val="1"/>
      <w:numFmt w:val="lowerLetter"/>
      <w:lvlText w:val="%8."/>
      <w:lvlJc w:val="left"/>
      <w:pPr>
        <w:ind w:left="5760" w:hanging="360"/>
      </w:pPr>
    </w:lvl>
    <w:lvl w:ilvl="8" w:tplc="C996FB3E">
      <w:start w:val="1"/>
      <w:numFmt w:val="lowerRoman"/>
      <w:lvlText w:val="%9."/>
      <w:lvlJc w:val="right"/>
      <w:pPr>
        <w:ind w:left="6480" w:hanging="180"/>
      </w:pPr>
    </w:lvl>
  </w:abstractNum>
  <w:abstractNum w:abstractNumId="9" w15:restartNumberingAfterBreak="0">
    <w:nsid w:val="64BFC86A"/>
    <w:multiLevelType w:val="hybridMultilevel"/>
    <w:tmpl w:val="6CF6A82E"/>
    <w:lvl w:ilvl="0" w:tplc="694016E8">
      <w:start w:val="1"/>
      <w:numFmt w:val="lowerLetter"/>
      <w:lvlText w:val="%1."/>
      <w:lvlJc w:val="left"/>
      <w:pPr>
        <w:ind w:left="720" w:hanging="360"/>
      </w:pPr>
    </w:lvl>
    <w:lvl w:ilvl="1" w:tplc="1C30CD18">
      <w:start w:val="1"/>
      <w:numFmt w:val="lowerLetter"/>
      <w:lvlText w:val="%2."/>
      <w:lvlJc w:val="left"/>
      <w:pPr>
        <w:ind w:left="1440" w:hanging="360"/>
      </w:pPr>
    </w:lvl>
    <w:lvl w:ilvl="2" w:tplc="9ACAB76C">
      <w:start w:val="1"/>
      <w:numFmt w:val="lowerRoman"/>
      <w:lvlText w:val="%3."/>
      <w:lvlJc w:val="right"/>
      <w:pPr>
        <w:ind w:left="2160" w:hanging="180"/>
      </w:pPr>
    </w:lvl>
    <w:lvl w:ilvl="3" w:tplc="5D52B0F4">
      <w:start w:val="1"/>
      <w:numFmt w:val="decimal"/>
      <w:lvlText w:val="%4."/>
      <w:lvlJc w:val="left"/>
      <w:pPr>
        <w:ind w:left="2880" w:hanging="360"/>
      </w:pPr>
    </w:lvl>
    <w:lvl w:ilvl="4" w:tplc="1A626A04">
      <w:start w:val="1"/>
      <w:numFmt w:val="lowerLetter"/>
      <w:lvlText w:val="%5."/>
      <w:lvlJc w:val="left"/>
      <w:pPr>
        <w:ind w:left="3600" w:hanging="360"/>
      </w:pPr>
    </w:lvl>
    <w:lvl w:ilvl="5" w:tplc="A672DA58">
      <w:start w:val="1"/>
      <w:numFmt w:val="lowerRoman"/>
      <w:lvlText w:val="%6."/>
      <w:lvlJc w:val="right"/>
      <w:pPr>
        <w:ind w:left="4320" w:hanging="180"/>
      </w:pPr>
    </w:lvl>
    <w:lvl w:ilvl="6" w:tplc="0A548A1C">
      <w:start w:val="1"/>
      <w:numFmt w:val="decimal"/>
      <w:lvlText w:val="%7."/>
      <w:lvlJc w:val="left"/>
      <w:pPr>
        <w:ind w:left="5040" w:hanging="360"/>
      </w:pPr>
    </w:lvl>
    <w:lvl w:ilvl="7" w:tplc="DBD4EA0E">
      <w:start w:val="1"/>
      <w:numFmt w:val="lowerLetter"/>
      <w:lvlText w:val="%8."/>
      <w:lvlJc w:val="left"/>
      <w:pPr>
        <w:ind w:left="5760" w:hanging="360"/>
      </w:pPr>
    </w:lvl>
    <w:lvl w:ilvl="8" w:tplc="D0E0CBF2">
      <w:start w:val="1"/>
      <w:numFmt w:val="lowerRoman"/>
      <w:lvlText w:val="%9."/>
      <w:lvlJc w:val="right"/>
      <w:pPr>
        <w:ind w:left="6480" w:hanging="180"/>
      </w:pPr>
    </w:lvl>
  </w:abstractNum>
  <w:abstractNum w:abstractNumId="10" w15:restartNumberingAfterBreak="0">
    <w:nsid w:val="6FE6D318"/>
    <w:multiLevelType w:val="hybridMultilevel"/>
    <w:tmpl w:val="A79ED0CC"/>
    <w:lvl w:ilvl="0" w:tplc="A39E5D42">
      <w:start w:val="1"/>
      <w:numFmt w:val="bullet"/>
      <w:lvlText w:val="·"/>
      <w:lvlJc w:val="left"/>
      <w:pPr>
        <w:ind w:left="720" w:hanging="360"/>
      </w:pPr>
      <w:rPr>
        <w:rFonts w:hint="default" w:ascii="Symbol" w:hAnsi="Symbol"/>
      </w:rPr>
    </w:lvl>
    <w:lvl w:ilvl="1" w:tplc="3D8C7C4E">
      <w:start w:val="1"/>
      <w:numFmt w:val="bullet"/>
      <w:lvlText w:val="o"/>
      <w:lvlJc w:val="left"/>
      <w:pPr>
        <w:ind w:left="1440" w:hanging="360"/>
      </w:pPr>
      <w:rPr>
        <w:rFonts w:hint="default" w:ascii="Courier New" w:hAnsi="Courier New"/>
      </w:rPr>
    </w:lvl>
    <w:lvl w:ilvl="2" w:tplc="3A82FE18">
      <w:start w:val="1"/>
      <w:numFmt w:val="bullet"/>
      <w:lvlText w:val=""/>
      <w:lvlJc w:val="left"/>
      <w:pPr>
        <w:ind w:left="2160" w:hanging="360"/>
      </w:pPr>
      <w:rPr>
        <w:rFonts w:hint="default" w:ascii="Wingdings" w:hAnsi="Wingdings"/>
      </w:rPr>
    </w:lvl>
    <w:lvl w:ilvl="3" w:tplc="A36E59AE">
      <w:start w:val="1"/>
      <w:numFmt w:val="bullet"/>
      <w:lvlText w:val=""/>
      <w:lvlJc w:val="left"/>
      <w:pPr>
        <w:ind w:left="2880" w:hanging="360"/>
      </w:pPr>
      <w:rPr>
        <w:rFonts w:hint="default" w:ascii="Symbol" w:hAnsi="Symbol"/>
      </w:rPr>
    </w:lvl>
    <w:lvl w:ilvl="4" w:tplc="BBF66052">
      <w:start w:val="1"/>
      <w:numFmt w:val="bullet"/>
      <w:lvlText w:val="o"/>
      <w:lvlJc w:val="left"/>
      <w:pPr>
        <w:ind w:left="3600" w:hanging="360"/>
      </w:pPr>
      <w:rPr>
        <w:rFonts w:hint="default" w:ascii="Courier New" w:hAnsi="Courier New"/>
      </w:rPr>
    </w:lvl>
    <w:lvl w:ilvl="5" w:tplc="84482714">
      <w:start w:val="1"/>
      <w:numFmt w:val="bullet"/>
      <w:lvlText w:val=""/>
      <w:lvlJc w:val="left"/>
      <w:pPr>
        <w:ind w:left="4320" w:hanging="360"/>
      </w:pPr>
      <w:rPr>
        <w:rFonts w:hint="default" w:ascii="Wingdings" w:hAnsi="Wingdings"/>
      </w:rPr>
    </w:lvl>
    <w:lvl w:ilvl="6" w:tplc="92E014C4">
      <w:start w:val="1"/>
      <w:numFmt w:val="bullet"/>
      <w:lvlText w:val=""/>
      <w:lvlJc w:val="left"/>
      <w:pPr>
        <w:ind w:left="5040" w:hanging="360"/>
      </w:pPr>
      <w:rPr>
        <w:rFonts w:hint="default" w:ascii="Symbol" w:hAnsi="Symbol"/>
      </w:rPr>
    </w:lvl>
    <w:lvl w:ilvl="7" w:tplc="E5EACB12">
      <w:start w:val="1"/>
      <w:numFmt w:val="bullet"/>
      <w:lvlText w:val="o"/>
      <w:lvlJc w:val="left"/>
      <w:pPr>
        <w:ind w:left="5760" w:hanging="360"/>
      </w:pPr>
      <w:rPr>
        <w:rFonts w:hint="default" w:ascii="Courier New" w:hAnsi="Courier New"/>
      </w:rPr>
    </w:lvl>
    <w:lvl w:ilvl="8" w:tplc="105E3BEE">
      <w:start w:val="1"/>
      <w:numFmt w:val="bullet"/>
      <w:lvlText w:val=""/>
      <w:lvlJc w:val="left"/>
      <w:pPr>
        <w:ind w:left="6480" w:hanging="360"/>
      </w:pPr>
      <w:rPr>
        <w:rFonts w:hint="default" w:ascii="Wingdings" w:hAnsi="Wingdings"/>
      </w:rPr>
    </w:lvl>
  </w:abstractNum>
  <w:abstractNum w:abstractNumId="11" w15:restartNumberingAfterBreak="0">
    <w:nsid w:val="74A7099C"/>
    <w:multiLevelType w:val="hybridMultilevel"/>
    <w:tmpl w:val="C458FF48"/>
    <w:lvl w:ilvl="0" w:tplc="FEC42AB4">
      <w:start w:val="1"/>
      <w:numFmt w:val="decimal"/>
      <w:lvlText w:val="(%1)"/>
      <w:lvlJc w:val="left"/>
      <w:pPr>
        <w:ind w:left="360" w:hanging="360"/>
      </w:pPr>
    </w:lvl>
    <w:lvl w:ilvl="1" w:tplc="A0F2D3F2">
      <w:start w:val="1"/>
      <w:numFmt w:val="lowerLetter"/>
      <w:lvlText w:val="%2."/>
      <w:lvlJc w:val="left"/>
      <w:pPr>
        <w:ind w:left="1080" w:hanging="360"/>
      </w:pPr>
    </w:lvl>
    <w:lvl w:ilvl="2" w:tplc="9CD64FAE">
      <w:start w:val="1"/>
      <w:numFmt w:val="lowerRoman"/>
      <w:lvlText w:val="%3."/>
      <w:lvlJc w:val="right"/>
      <w:pPr>
        <w:ind w:left="1800" w:hanging="180"/>
      </w:pPr>
    </w:lvl>
    <w:lvl w:ilvl="3" w:tplc="48CE9864">
      <w:start w:val="1"/>
      <w:numFmt w:val="decimal"/>
      <w:lvlText w:val="%4."/>
      <w:lvlJc w:val="left"/>
      <w:pPr>
        <w:ind w:left="2520" w:hanging="360"/>
      </w:pPr>
    </w:lvl>
    <w:lvl w:ilvl="4" w:tplc="AA84FD0A">
      <w:start w:val="1"/>
      <w:numFmt w:val="lowerLetter"/>
      <w:lvlText w:val="%5."/>
      <w:lvlJc w:val="left"/>
      <w:pPr>
        <w:ind w:left="3240" w:hanging="360"/>
      </w:pPr>
    </w:lvl>
    <w:lvl w:ilvl="5" w:tplc="F70E742C">
      <w:start w:val="1"/>
      <w:numFmt w:val="lowerRoman"/>
      <w:lvlText w:val="%6."/>
      <w:lvlJc w:val="right"/>
      <w:pPr>
        <w:ind w:left="3960" w:hanging="180"/>
      </w:pPr>
    </w:lvl>
    <w:lvl w:ilvl="6" w:tplc="3370C26E">
      <w:start w:val="1"/>
      <w:numFmt w:val="decimal"/>
      <w:lvlText w:val="%7."/>
      <w:lvlJc w:val="left"/>
      <w:pPr>
        <w:ind w:left="4680" w:hanging="360"/>
      </w:pPr>
    </w:lvl>
    <w:lvl w:ilvl="7" w:tplc="8FA06252">
      <w:start w:val="1"/>
      <w:numFmt w:val="lowerLetter"/>
      <w:lvlText w:val="%8."/>
      <w:lvlJc w:val="left"/>
      <w:pPr>
        <w:ind w:left="5400" w:hanging="360"/>
      </w:pPr>
    </w:lvl>
    <w:lvl w:ilvl="8" w:tplc="5BCE4016">
      <w:start w:val="1"/>
      <w:numFmt w:val="lowerRoman"/>
      <w:lvlText w:val="%9."/>
      <w:lvlJc w:val="right"/>
      <w:pPr>
        <w:ind w:left="6120" w:hanging="180"/>
      </w:pPr>
    </w:lvl>
  </w:abstractNum>
  <w:abstractNum w:abstractNumId="12" w15:restartNumberingAfterBreak="0">
    <w:nsid w:val="7CC31672"/>
    <w:multiLevelType w:val="hybridMultilevel"/>
    <w:tmpl w:val="AA805FEC"/>
    <w:lvl w:ilvl="0" w:tplc="3FD07978">
      <w:start w:val="1"/>
      <w:numFmt w:val="lowerLetter"/>
      <w:lvlText w:val="%1."/>
      <w:lvlJc w:val="left"/>
      <w:pPr>
        <w:ind w:left="720" w:hanging="360"/>
      </w:pPr>
    </w:lvl>
    <w:lvl w:ilvl="1" w:tplc="8CB0A70E">
      <w:start w:val="1"/>
      <w:numFmt w:val="lowerLetter"/>
      <w:lvlText w:val="%2."/>
      <w:lvlJc w:val="left"/>
      <w:pPr>
        <w:ind w:left="1440" w:hanging="360"/>
      </w:pPr>
    </w:lvl>
    <w:lvl w:ilvl="2" w:tplc="4AD88F0E">
      <w:start w:val="1"/>
      <w:numFmt w:val="lowerRoman"/>
      <w:lvlText w:val="%3."/>
      <w:lvlJc w:val="right"/>
      <w:pPr>
        <w:ind w:left="2160" w:hanging="180"/>
      </w:pPr>
    </w:lvl>
    <w:lvl w:ilvl="3" w:tplc="995CF4FC">
      <w:start w:val="1"/>
      <w:numFmt w:val="decimal"/>
      <w:lvlText w:val="%4."/>
      <w:lvlJc w:val="left"/>
      <w:pPr>
        <w:ind w:left="2880" w:hanging="360"/>
      </w:pPr>
    </w:lvl>
    <w:lvl w:ilvl="4" w:tplc="26C0E00E">
      <w:start w:val="1"/>
      <w:numFmt w:val="lowerLetter"/>
      <w:lvlText w:val="%5."/>
      <w:lvlJc w:val="left"/>
      <w:pPr>
        <w:ind w:left="3600" w:hanging="360"/>
      </w:pPr>
    </w:lvl>
    <w:lvl w:ilvl="5" w:tplc="186E7AAE">
      <w:start w:val="1"/>
      <w:numFmt w:val="lowerRoman"/>
      <w:lvlText w:val="%6."/>
      <w:lvlJc w:val="right"/>
      <w:pPr>
        <w:ind w:left="4320" w:hanging="180"/>
      </w:pPr>
    </w:lvl>
    <w:lvl w:ilvl="6" w:tplc="F9C0D44C">
      <w:start w:val="1"/>
      <w:numFmt w:val="decimal"/>
      <w:lvlText w:val="%7."/>
      <w:lvlJc w:val="left"/>
      <w:pPr>
        <w:ind w:left="5040" w:hanging="360"/>
      </w:pPr>
    </w:lvl>
    <w:lvl w:ilvl="7" w:tplc="F76A2BE4">
      <w:start w:val="1"/>
      <w:numFmt w:val="lowerLetter"/>
      <w:lvlText w:val="%8."/>
      <w:lvlJc w:val="left"/>
      <w:pPr>
        <w:ind w:left="5760" w:hanging="360"/>
      </w:pPr>
    </w:lvl>
    <w:lvl w:ilvl="8" w:tplc="4C8ACE46">
      <w:start w:val="1"/>
      <w:numFmt w:val="lowerRoman"/>
      <w:lvlText w:val="%9."/>
      <w:lvlJc w:val="right"/>
      <w:pPr>
        <w:ind w:left="6480" w:hanging="180"/>
      </w:pPr>
    </w:lvl>
  </w:abstractNum>
  <w:num w:numId="1" w16cid:durableId="2068986725">
    <w:abstractNumId w:val="5"/>
  </w:num>
  <w:num w:numId="2" w16cid:durableId="1063601816">
    <w:abstractNumId w:val="11"/>
  </w:num>
  <w:num w:numId="3" w16cid:durableId="1047796128">
    <w:abstractNumId w:val="4"/>
  </w:num>
  <w:num w:numId="4" w16cid:durableId="1669400325">
    <w:abstractNumId w:val="2"/>
  </w:num>
  <w:num w:numId="5" w16cid:durableId="1665550536">
    <w:abstractNumId w:val="1"/>
  </w:num>
  <w:num w:numId="6" w16cid:durableId="268197516">
    <w:abstractNumId w:val="12"/>
  </w:num>
  <w:num w:numId="7" w16cid:durableId="880481034">
    <w:abstractNumId w:val="9"/>
  </w:num>
  <w:num w:numId="8" w16cid:durableId="387801879">
    <w:abstractNumId w:val="8"/>
  </w:num>
  <w:num w:numId="9" w16cid:durableId="1513446083">
    <w:abstractNumId w:val="7"/>
  </w:num>
  <w:num w:numId="10" w16cid:durableId="774061110">
    <w:abstractNumId w:val="10"/>
  </w:num>
  <w:num w:numId="11" w16cid:durableId="2068454777">
    <w:abstractNumId w:val="0"/>
  </w:num>
  <w:num w:numId="12" w16cid:durableId="1133333162">
    <w:abstractNumId w:val="6"/>
  </w:num>
  <w:num w:numId="13" w16cid:durableId="2145922828">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CB8BC8"/>
    <w:rsid w:val="00001939"/>
    <w:rsid w:val="000336CD"/>
    <w:rsid w:val="000623EF"/>
    <w:rsid w:val="001AD9B8"/>
    <w:rsid w:val="00250D20"/>
    <w:rsid w:val="00270375"/>
    <w:rsid w:val="00335132"/>
    <w:rsid w:val="00410B0B"/>
    <w:rsid w:val="0046390B"/>
    <w:rsid w:val="004DC119"/>
    <w:rsid w:val="00535285"/>
    <w:rsid w:val="006288C0"/>
    <w:rsid w:val="00733427"/>
    <w:rsid w:val="008061AD"/>
    <w:rsid w:val="009E4B69"/>
    <w:rsid w:val="00B575A6"/>
    <w:rsid w:val="00B73529"/>
    <w:rsid w:val="00D738F5"/>
    <w:rsid w:val="00DE4DB5"/>
    <w:rsid w:val="00EA3727"/>
    <w:rsid w:val="00F66D87"/>
    <w:rsid w:val="0108A468"/>
    <w:rsid w:val="01A8E401"/>
    <w:rsid w:val="01D17046"/>
    <w:rsid w:val="02B32EBB"/>
    <w:rsid w:val="02DE5B96"/>
    <w:rsid w:val="02E6D67D"/>
    <w:rsid w:val="02F616FE"/>
    <w:rsid w:val="0355D41A"/>
    <w:rsid w:val="037983F2"/>
    <w:rsid w:val="03D81112"/>
    <w:rsid w:val="03E04E66"/>
    <w:rsid w:val="0431D825"/>
    <w:rsid w:val="04CD5CA8"/>
    <w:rsid w:val="04CEE630"/>
    <w:rsid w:val="052AA759"/>
    <w:rsid w:val="056D5677"/>
    <w:rsid w:val="05CDA886"/>
    <w:rsid w:val="0693791C"/>
    <w:rsid w:val="06EB7551"/>
    <w:rsid w:val="076A6A71"/>
    <w:rsid w:val="079849CA"/>
    <w:rsid w:val="07BFD4CF"/>
    <w:rsid w:val="07D6D21D"/>
    <w:rsid w:val="082F497D"/>
    <w:rsid w:val="098ADE7D"/>
    <w:rsid w:val="09B73454"/>
    <w:rsid w:val="09DAAE4A"/>
    <w:rsid w:val="09E46FB1"/>
    <w:rsid w:val="0C0E2881"/>
    <w:rsid w:val="0C680064"/>
    <w:rsid w:val="0CA68F32"/>
    <w:rsid w:val="0CE52C91"/>
    <w:rsid w:val="0D27E36B"/>
    <w:rsid w:val="0D55DB90"/>
    <w:rsid w:val="0E03D0C5"/>
    <w:rsid w:val="0E80FCF2"/>
    <w:rsid w:val="0EDE7463"/>
    <w:rsid w:val="0F1CFEE8"/>
    <w:rsid w:val="0F741367"/>
    <w:rsid w:val="0F7E686A"/>
    <w:rsid w:val="0F90EC92"/>
    <w:rsid w:val="1065CC51"/>
    <w:rsid w:val="10684DBF"/>
    <w:rsid w:val="107F8FFD"/>
    <w:rsid w:val="10F0D1CF"/>
    <w:rsid w:val="113B2470"/>
    <w:rsid w:val="1157420A"/>
    <w:rsid w:val="11AD0FC5"/>
    <w:rsid w:val="11AFB7EB"/>
    <w:rsid w:val="11DBAB1D"/>
    <w:rsid w:val="120E07A8"/>
    <w:rsid w:val="126E10E7"/>
    <w:rsid w:val="12735FA3"/>
    <w:rsid w:val="129D5B90"/>
    <w:rsid w:val="12AC2B8E"/>
    <w:rsid w:val="12CA4744"/>
    <w:rsid w:val="12DB5703"/>
    <w:rsid w:val="1334F1C0"/>
    <w:rsid w:val="133D74A3"/>
    <w:rsid w:val="1348E026"/>
    <w:rsid w:val="1365A65E"/>
    <w:rsid w:val="14287291"/>
    <w:rsid w:val="14DA0B71"/>
    <w:rsid w:val="14DE8BAE"/>
    <w:rsid w:val="15370AC5"/>
    <w:rsid w:val="153A328F"/>
    <w:rsid w:val="153A3FA1"/>
    <w:rsid w:val="15A4B574"/>
    <w:rsid w:val="15C9AA35"/>
    <w:rsid w:val="16743DE6"/>
    <w:rsid w:val="1685B8C4"/>
    <w:rsid w:val="16BE66E6"/>
    <w:rsid w:val="16DDF530"/>
    <w:rsid w:val="171E19C9"/>
    <w:rsid w:val="171F4AA2"/>
    <w:rsid w:val="1734B390"/>
    <w:rsid w:val="17744DD7"/>
    <w:rsid w:val="17C288A4"/>
    <w:rsid w:val="17DDE61F"/>
    <w:rsid w:val="1858B806"/>
    <w:rsid w:val="185A3747"/>
    <w:rsid w:val="18F382E6"/>
    <w:rsid w:val="1979B680"/>
    <w:rsid w:val="1A5CE18C"/>
    <w:rsid w:val="1A788559"/>
    <w:rsid w:val="1B4A0375"/>
    <w:rsid w:val="1B7A27DB"/>
    <w:rsid w:val="1BA40E4C"/>
    <w:rsid w:val="1C195D29"/>
    <w:rsid w:val="1C61C5EE"/>
    <w:rsid w:val="1C70FE72"/>
    <w:rsid w:val="1C7CD16A"/>
    <w:rsid w:val="1D1DA1AC"/>
    <w:rsid w:val="1D420DB2"/>
    <w:rsid w:val="1D8DB7A4"/>
    <w:rsid w:val="1DA48BD9"/>
    <w:rsid w:val="1DB4343C"/>
    <w:rsid w:val="1DBF25CF"/>
    <w:rsid w:val="1E0075FF"/>
    <w:rsid w:val="1EA6CB66"/>
    <w:rsid w:val="1F4127A6"/>
    <w:rsid w:val="1F5B4264"/>
    <w:rsid w:val="1F96029C"/>
    <w:rsid w:val="1F9C4660"/>
    <w:rsid w:val="1FA89F34"/>
    <w:rsid w:val="1FDD2EAF"/>
    <w:rsid w:val="2104B7F8"/>
    <w:rsid w:val="218EC359"/>
    <w:rsid w:val="22CA3CDE"/>
    <w:rsid w:val="2360CC9D"/>
    <w:rsid w:val="236EE899"/>
    <w:rsid w:val="237E380F"/>
    <w:rsid w:val="239CE9EE"/>
    <w:rsid w:val="23A28F0F"/>
    <w:rsid w:val="2428C7BA"/>
    <w:rsid w:val="250E4FC6"/>
    <w:rsid w:val="256F8284"/>
    <w:rsid w:val="25765F0F"/>
    <w:rsid w:val="260311B9"/>
    <w:rsid w:val="260763FB"/>
    <w:rsid w:val="2617E0B8"/>
    <w:rsid w:val="261E566E"/>
    <w:rsid w:val="26BDFAA7"/>
    <w:rsid w:val="26DAF8F5"/>
    <w:rsid w:val="26FB52E8"/>
    <w:rsid w:val="275B1682"/>
    <w:rsid w:val="278EA54B"/>
    <w:rsid w:val="2791E334"/>
    <w:rsid w:val="2805D537"/>
    <w:rsid w:val="28705B11"/>
    <w:rsid w:val="2876C956"/>
    <w:rsid w:val="28788349"/>
    <w:rsid w:val="28C7172F"/>
    <w:rsid w:val="291DE9F9"/>
    <w:rsid w:val="29435C00"/>
    <w:rsid w:val="29615F03"/>
    <w:rsid w:val="29A92CB3"/>
    <w:rsid w:val="29EAA9D6"/>
    <w:rsid w:val="2A20DF8F"/>
    <w:rsid w:val="2A69E684"/>
    <w:rsid w:val="2A96E67D"/>
    <w:rsid w:val="2A9C3752"/>
    <w:rsid w:val="2AB9BA5A"/>
    <w:rsid w:val="2AEB51DB"/>
    <w:rsid w:val="2AF23756"/>
    <w:rsid w:val="2BC11C0A"/>
    <w:rsid w:val="2C87EBE9"/>
    <w:rsid w:val="2C8E07B7"/>
    <w:rsid w:val="2D61F9B8"/>
    <w:rsid w:val="2D84D7D0"/>
    <w:rsid w:val="2DCB8BC8"/>
    <w:rsid w:val="2DE080CC"/>
    <w:rsid w:val="2EB5D6FD"/>
    <w:rsid w:val="2EBDABA1"/>
    <w:rsid w:val="2EE78A1B"/>
    <w:rsid w:val="2F71AC17"/>
    <w:rsid w:val="2F8E1A60"/>
    <w:rsid w:val="2FA7D0C0"/>
    <w:rsid w:val="2FD46842"/>
    <w:rsid w:val="2FEB8CE6"/>
    <w:rsid w:val="302EF447"/>
    <w:rsid w:val="303C3FC2"/>
    <w:rsid w:val="3060AD17"/>
    <w:rsid w:val="306A321F"/>
    <w:rsid w:val="306B9A9E"/>
    <w:rsid w:val="307CA10F"/>
    <w:rsid w:val="30A3D859"/>
    <w:rsid w:val="30D3DC06"/>
    <w:rsid w:val="310D7C78"/>
    <w:rsid w:val="31775821"/>
    <w:rsid w:val="31D8012B"/>
    <w:rsid w:val="32060280"/>
    <w:rsid w:val="32A94CD9"/>
    <w:rsid w:val="3312448D"/>
    <w:rsid w:val="33D81593"/>
    <w:rsid w:val="345438AE"/>
    <w:rsid w:val="34A5F49F"/>
    <w:rsid w:val="34AFF8A6"/>
    <w:rsid w:val="35364351"/>
    <w:rsid w:val="358B90CF"/>
    <w:rsid w:val="35A31DE5"/>
    <w:rsid w:val="35A60272"/>
    <w:rsid w:val="35E59C8C"/>
    <w:rsid w:val="35FB775A"/>
    <w:rsid w:val="35FFD747"/>
    <w:rsid w:val="362C8CF5"/>
    <w:rsid w:val="3641C500"/>
    <w:rsid w:val="3695FD8D"/>
    <w:rsid w:val="36AB724E"/>
    <w:rsid w:val="37089F18"/>
    <w:rsid w:val="370DE598"/>
    <w:rsid w:val="3718FFA2"/>
    <w:rsid w:val="37D64141"/>
    <w:rsid w:val="386DE413"/>
    <w:rsid w:val="39188E5D"/>
    <w:rsid w:val="3919EFBF"/>
    <w:rsid w:val="392102F8"/>
    <w:rsid w:val="39BD2DC1"/>
    <w:rsid w:val="39C9EAB3"/>
    <w:rsid w:val="39E6AEA6"/>
    <w:rsid w:val="3A2A3CC2"/>
    <w:rsid w:val="3A37299A"/>
    <w:rsid w:val="3A885D9E"/>
    <w:rsid w:val="3AD8362D"/>
    <w:rsid w:val="3AF487D0"/>
    <w:rsid w:val="3AFB6A91"/>
    <w:rsid w:val="3B33B207"/>
    <w:rsid w:val="3B3F6842"/>
    <w:rsid w:val="3B682309"/>
    <w:rsid w:val="3B974B9A"/>
    <w:rsid w:val="3BA683C5"/>
    <w:rsid w:val="3BC7413C"/>
    <w:rsid w:val="3C905831"/>
    <w:rsid w:val="3C9B05B1"/>
    <w:rsid w:val="3C9D852B"/>
    <w:rsid w:val="3CB10684"/>
    <w:rsid w:val="3D63119D"/>
    <w:rsid w:val="3E9245A6"/>
    <w:rsid w:val="3EB69F01"/>
    <w:rsid w:val="3F87CFE1"/>
    <w:rsid w:val="40646E8B"/>
    <w:rsid w:val="40A38D07"/>
    <w:rsid w:val="40BBE80D"/>
    <w:rsid w:val="40E06523"/>
    <w:rsid w:val="40F1ED56"/>
    <w:rsid w:val="41251C72"/>
    <w:rsid w:val="418C3C6B"/>
    <w:rsid w:val="41AF7561"/>
    <w:rsid w:val="41EE24F5"/>
    <w:rsid w:val="41FC3736"/>
    <w:rsid w:val="423F5D68"/>
    <w:rsid w:val="4256F080"/>
    <w:rsid w:val="42BF70A3"/>
    <w:rsid w:val="431137A1"/>
    <w:rsid w:val="43A6DA7F"/>
    <w:rsid w:val="44AA3A5D"/>
    <w:rsid w:val="44AD0802"/>
    <w:rsid w:val="44BCC488"/>
    <w:rsid w:val="4533D7F8"/>
    <w:rsid w:val="45343DAE"/>
    <w:rsid w:val="4537DFAE"/>
    <w:rsid w:val="4593C858"/>
    <w:rsid w:val="459B13B5"/>
    <w:rsid w:val="45F5B59B"/>
    <w:rsid w:val="45FF96A6"/>
    <w:rsid w:val="4600604D"/>
    <w:rsid w:val="464128FE"/>
    <w:rsid w:val="464C913E"/>
    <w:rsid w:val="469F8C12"/>
    <w:rsid w:val="46CE15D1"/>
    <w:rsid w:val="46D7B051"/>
    <w:rsid w:val="46E4980A"/>
    <w:rsid w:val="46F7421B"/>
    <w:rsid w:val="46F7BFA5"/>
    <w:rsid w:val="47EF2C1F"/>
    <w:rsid w:val="49D9B4ED"/>
    <w:rsid w:val="49F684E3"/>
    <w:rsid w:val="4A10F45A"/>
    <w:rsid w:val="4A39E1EA"/>
    <w:rsid w:val="4A4544F1"/>
    <w:rsid w:val="4A9E68B5"/>
    <w:rsid w:val="4AA1C863"/>
    <w:rsid w:val="4AB18AB4"/>
    <w:rsid w:val="4AC735C7"/>
    <w:rsid w:val="4B0C260C"/>
    <w:rsid w:val="4B19F654"/>
    <w:rsid w:val="4BACC4BB"/>
    <w:rsid w:val="4BB915AC"/>
    <w:rsid w:val="4BBA58EC"/>
    <w:rsid w:val="4BC49E42"/>
    <w:rsid w:val="4BDAC778"/>
    <w:rsid w:val="4C15D050"/>
    <w:rsid w:val="4C6E406F"/>
    <w:rsid w:val="4C6FA1D1"/>
    <w:rsid w:val="4C9A9616"/>
    <w:rsid w:val="4CB54C42"/>
    <w:rsid w:val="4CCFF3E0"/>
    <w:rsid w:val="4D099343"/>
    <w:rsid w:val="4D2070AB"/>
    <w:rsid w:val="4D42A94F"/>
    <w:rsid w:val="4DCE0F0B"/>
    <w:rsid w:val="4DDE68F3"/>
    <w:rsid w:val="4DE79F23"/>
    <w:rsid w:val="4E2FEE7F"/>
    <w:rsid w:val="4E6CF85A"/>
    <w:rsid w:val="4E6F2AC1"/>
    <w:rsid w:val="4EA76494"/>
    <w:rsid w:val="4EEBD954"/>
    <w:rsid w:val="4F12683A"/>
    <w:rsid w:val="4F4BBE90"/>
    <w:rsid w:val="4F8E1A36"/>
    <w:rsid w:val="4FD284E7"/>
    <w:rsid w:val="4FEE6C45"/>
    <w:rsid w:val="4FEF36FB"/>
    <w:rsid w:val="4FF68351"/>
    <w:rsid w:val="5058116D"/>
    <w:rsid w:val="507A4A11"/>
    <w:rsid w:val="50C42D9B"/>
    <w:rsid w:val="50E269EA"/>
    <w:rsid w:val="513C81C3"/>
    <w:rsid w:val="5141B192"/>
    <w:rsid w:val="514312F4"/>
    <w:rsid w:val="51505245"/>
    <w:rsid w:val="515B7B1D"/>
    <w:rsid w:val="51B79AF5"/>
    <w:rsid w:val="51BC789B"/>
    <w:rsid w:val="526A5E65"/>
    <w:rsid w:val="52D49891"/>
    <w:rsid w:val="52DD81F3"/>
    <w:rsid w:val="533AC124"/>
    <w:rsid w:val="533DA2ED"/>
    <w:rsid w:val="534ED061"/>
    <w:rsid w:val="538299DC"/>
    <w:rsid w:val="5383272C"/>
    <w:rsid w:val="53A9F2B5"/>
    <w:rsid w:val="542ADAE4"/>
    <w:rsid w:val="54809E90"/>
    <w:rsid w:val="5487EA2B"/>
    <w:rsid w:val="54F3977F"/>
    <w:rsid w:val="55441D8A"/>
    <w:rsid w:val="555EEB73"/>
    <w:rsid w:val="556FD6D3"/>
    <w:rsid w:val="55E45B96"/>
    <w:rsid w:val="565FDAF3"/>
    <w:rsid w:val="5673B0E1"/>
    <w:rsid w:val="56801790"/>
    <w:rsid w:val="5688C423"/>
    <w:rsid w:val="56E342FE"/>
    <w:rsid w:val="56F703D3"/>
    <w:rsid w:val="570CA3EF"/>
    <w:rsid w:val="574FF17B"/>
    <w:rsid w:val="579C36A3"/>
    <w:rsid w:val="58249484"/>
    <w:rsid w:val="584C45EA"/>
    <w:rsid w:val="588D91C0"/>
    <w:rsid w:val="58A4B609"/>
    <w:rsid w:val="591CE615"/>
    <w:rsid w:val="594E24D9"/>
    <w:rsid w:val="5951ED4E"/>
    <w:rsid w:val="5979F1EF"/>
    <w:rsid w:val="59AB51A3"/>
    <w:rsid w:val="5A22F088"/>
    <w:rsid w:val="5A6FE921"/>
    <w:rsid w:val="5A7CEFDB"/>
    <w:rsid w:val="5A7F730B"/>
    <w:rsid w:val="5AF76E41"/>
    <w:rsid w:val="5B5F4338"/>
    <w:rsid w:val="5B8FA56A"/>
    <w:rsid w:val="5B904B97"/>
    <w:rsid w:val="5BB5049A"/>
    <w:rsid w:val="5BC48FD0"/>
    <w:rsid w:val="5BC73746"/>
    <w:rsid w:val="5BC8436C"/>
    <w:rsid w:val="5BD5D98B"/>
    <w:rsid w:val="5C25AC95"/>
    <w:rsid w:val="5CBBB476"/>
    <w:rsid w:val="5CEE9126"/>
    <w:rsid w:val="5D475FB4"/>
    <w:rsid w:val="5D6102E3"/>
    <w:rsid w:val="5DB4507A"/>
    <w:rsid w:val="5EC7EC59"/>
    <w:rsid w:val="5EECA55C"/>
    <w:rsid w:val="5F47E617"/>
    <w:rsid w:val="602997EA"/>
    <w:rsid w:val="6063BCBA"/>
    <w:rsid w:val="60F66CE3"/>
    <w:rsid w:val="61007B3A"/>
    <w:rsid w:val="61D9FFD3"/>
    <w:rsid w:val="61F8B15E"/>
    <w:rsid w:val="61FEA9DE"/>
    <w:rsid w:val="62095500"/>
    <w:rsid w:val="621D506D"/>
    <w:rsid w:val="62326FF2"/>
    <w:rsid w:val="6233D154"/>
    <w:rsid w:val="624E6FD9"/>
    <w:rsid w:val="62DBDEC2"/>
    <w:rsid w:val="62F0459C"/>
    <w:rsid w:val="632AF5FA"/>
    <w:rsid w:val="633638AA"/>
    <w:rsid w:val="6345723B"/>
    <w:rsid w:val="63B920CE"/>
    <w:rsid w:val="63EB3013"/>
    <w:rsid w:val="63F60963"/>
    <w:rsid w:val="641581D8"/>
    <w:rsid w:val="64373807"/>
    <w:rsid w:val="6479B754"/>
    <w:rsid w:val="6554F12F"/>
    <w:rsid w:val="656DDA0B"/>
    <w:rsid w:val="659DFF3E"/>
    <w:rsid w:val="65C2304A"/>
    <w:rsid w:val="65D30868"/>
    <w:rsid w:val="66B31846"/>
    <w:rsid w:val="66DC15F5"/>
    <w:rsid w:val="66E56441"/>
    <w:rsid w:val="67480B28"/>
    <w:rsid w:val="674E6C29"/>
    <w:rsid w:val="678C10E9"/>
    <w:rsid w:val="6832116A"/>
    <w:rsid w:val="685287EE"/>
    <w:rsid w:val="6854C305"/>
    <w:rsid w:val="68BC7C78"/>
    <w:rsid w:val="698D497A"/>
    <w:rsid w:val="6AE32710"/>
    <w:rsid w:val="6B875B36"/>
    <w:rsid w:val="6B90920B"/>
    <w:rsid w:val="6BE63BED"/>
    <w:rsid w:val="6BE7F2EB"/>
    <w:rsid w:val="6BF41D3A"/>
    <w:rsid w:val="6C60B702"/>
    <w:rsid w:val="6CD65909"/>
    <w:rsid w:val="6CFB0E9F"/>
    <w:rsid w:val="6D0C6FA5"/>
    <w:rsid w:val="6D6EE64B"/>
    <w:rsid w:val="6DF958B1"/>
    <w:rsid w:val="6E3965CD"/>
    <w:rsid w:val="6E41935B"/>
    <w:rsid w:val="6E8C5759"/>
    <w:rsid w:val="6EB1E758"/>
    <w:rsid w:val="6F0AB6AC"/>
    <w:rsid w:val="6F10F2FA"/>
    <w:rsid w:val="6F28A583"/>
    <w:rsid w:val="6F5124CF"/>
    <w:rsid w:val="6F8D8C0F"/>
    <w:rsid w:val="7038A477"/>
    <w:rsid w:val="709004D4"/>
    <w:rsid w:val="7130EEC2"/>
    <w:rsid w:val="713CB388"/>
    <w:rsid w:val="723334B6"/>
    <w:rsid w:val="7242576E"/>
    <w:rsid w:val="72E65E5C"/>
    <w:rsid w:val="73209176"/>
    <w:rsid w:val="732932A8"/>
    <w:rsid w:val="73571CDC"/>
    <w:rsid w:val="738E3A35"/>
    <w:rsid w:val="73DAAB08"/>
    <w:rsid w:val="73DAEEAC"/>
    <w:rsid w:val="741BB45A"/>
    <w:rsid w:val="747FB6F1"/>
    <w:rsid w:val="7495C073"/>
    <w:rsid w:val="74BC61D7"/>
    <w:rsid w:val="74BCFB11"/>
    <w:rsid w:val="74E6BEE7"/>
    <w:rsid w:val="75AC8FF0"/>
    <w:rsid w:val="75C9F3AB"/>
    <w:rsid w:val="75E1B802"/>
    <w:rsid w:val="761B8752"/>
    <w:rsid w:val="765738EA"/>
    <w:rsid w:val="76583238"/>
    <w:rsid w:val="76B4658A"/>
    <w:rsid w:val="771CF5DD"/>
    <w:rsid w:val="771D6641"/>
    <w:rsid w:val="7751D5DB"/>
    <w:rsid w:val="78141382"/>
    <w:rsid w:val="7832A69D"/>
    <w:rsid w:val="78566CC7"/>
    <w:rsid w:val="78FA4175"/>
    <w:rsid w:val="7944F309"/>
    <w:rsid w:val="796336E2"/>
    <w:rsid w:val="799BB3B4"/>
    <w:rsid w:val="79AAB831"/>
    <w:rsid w:val="79AD7C5E"/>
    <w:rsid w:val="79B84D85"/>
    <w:rsid w:val="79D97BA9"/>
    <w:rsid w:val="7A278BCE"/>
    <w:rsid w:val="7A8C4442"/>
    <w:rsid w:val="7B378415"/>
    <w:rsid w:val="7B63EA91"/>
    <w:rsid w:val="7B645D10"/>
    <w:rsid w:val="7B6A475F"/>
    <w:rsid w:val="7B90B2D5"/>
    <w:rsid w:val="7B9737EB"/>
    <w:rsid w:val="7BC35C2F"/>
    <w:rsid w:val="7BD77C95"/>
    <w:rsid w:val="7C2546FE"/>
    <w:rsid w:val="7C3DD7E3"/>
    <w:rsid w:val="7C3EE9CE"/>
    <w:rsid w:val="7CEFEE47"/>
    <w:rsid w:val="7D0C786D"/>
    <w:rsid w:val="7D162056"/>
    <w:rsid w:val="7D194083"/>
    <w:rsid w:val="7D555F7F"/>
    <w:rsid w:val="7D8CB6A9"/>
    <w:rsid w:val="7DA1CBC0"/>
    <w:rsid w:val="7E18F288"/>
    <w:rsid w:val="7EAA68A9"/>
    <w:rsid w:val="7F1AF0EB"/>
    <w:rsid w:val="7F8D9C8B"/>
    <w:rsid w:val="7FB4C2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8BC8"/>
  <w15:chartTrackingRefBased/>
  <w15:docId w15:val="{C984688B-AA8D-44DD-99BF-D595CBF8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50D20"/>
    <w:rPr>
      <w:b/>
      <w:bCs/>
    </w:rPr>
  </w:style>
  <w:style w:type="character" w:styleId="CommentSubjectChar" w:customStyle="1">
    <w:name w:val="Comment Subject Char"/>
    <w:basedOn w:val="CommentTextChar"/>
    <w:link w:val="CommentSubject"/>
    <w:uiPriority w:val="99"/>
    <w:semiHidden/>
    <w:rsid w:val="00250D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sc-word-edit.officeapps.live.com/we/wordeditorframe.aspx?ui=en%2DUS&amp;rs=en%2DUS&amp;wopisrc=https%3A%2F%2Fmedstarcloud-my.sharepoint.com%2Fpersonal%2Fdelisia_l_wicks_medstar_net%2F_vti_bin%2Fwopi.ashx%2Ffiles%2F58ccad7e417a4a05b8d2721d0029361a&amp;wdenableroaming=1&amp;mscc=1&amp;wdodb=1&amp;hid=08F447A0-20EC-D000-0ABD-501C82E79242&amp;wdorigin=ItemsView&amp;wdhostclicktime=1655392417188&amp;jsapi=1&amp;jsapiver=v1&amp;newsession=1&amp;corrid=2a204ac7-4293-4dbf-b6f7-b761d2e81c7f&amp;usid=2a204ac7-4293-4dbf-b6f7-b761d2e81c7f&amp;sftc=1&amp;cac=1&amp;mtf=1&amp;sfp=1&amp;instantedit=1&amp;wopicomplete=1&amp;wdredirectionreason=Unified_SingleFlush&amp;rct=Medium&amp;ctp=LeastProtected" TargetMode="External" Id="rId13" /><Relationship Type="http://schemas.openxmlformats.org/officeDocument/2006/relationships/hyperlink" Target="https://usc-word-edit.officeapps.live.com/we/wordeditorframe.aspx?ui=en%2DUS&amp;rs=en%2DUS&amp;wopisrc=https%3A%2F%2Fmedstarcloud-my.sharepoint.com%2Fpersonal%2Fdelisia_l_wicks_medstar_net%2F_vti_bin%2Fwopi.ashx%2Ffiles%2F58ccad7e417a4a05b8d2721d0029361a&amp;wdenableroaming=1&amp;mscc=1&amp;wdodb=1&amp;hid=08F447A0-20EC-D000-0ABD-501C82E79242&amp;wdorigin=ItemsView&amp;wdhostclicktime=1655392417188&amp;jsapi=1&amp;jsapiver=v1&amp;newsession=1&amp;corrid=2a204ac7-4293-4dbf-b6f7-b761d2e81c7f&amp;usid=2a204ac7-4293-4dbf-b6f7-b761d2e81c7f&amp;sftc=1&amp;cac=1&amp;mtf=1&amp;sfp=1&amp;instantedit=1&amp;wopicomplete=1&amp;wdredirectionreason=Unified_SingleFlush&amp;rct=Medium&amp;ctp=LeastProtected" TargetMode="External" Id="rId18" /><Relationship Type="http://schemas.openxmlformats.org/officeDocument/2006/relationships/hyperlink" Target="https://usc-word-edit.officeapps.live.com/we/wordeditorframe.aspx?ui=en%2DUS&amp;rs=en%2DUS&amp;wopisrc=https%3A%2F%2Fmedstarcloud-my.sharepoint.com%2Fpersonal%2Fdelisia_l_wicks_medstar_net%2F_vti_bin%2Fwopi.ashx%2Ffiles%2F58ccad7e417a4a05b8d2721d0029361a&amp;wdenableroaming=1&amp;mscc=1&amp;wdodb=1&amp;hid=08F447A0-20EC-D000-0ABD-501C82E79242&amp;wdorigin=ItemsView&amp;wdhostclicktime=1655392417188&amp;jsapi=1&amp;jsapiver=v1&amp;newsession=1&amp;corrid=2a204ac7-4293-4dbf-b6f7-b761d2e81c7f&amp;usid=2a204ac7-4293-4dbf-b6f7-b761d2e81c7f&amp;sftc=1&amp;cac=1&amp;mtf=1&amp;sfp=1&amp;instantedit=1&amp;wopicomplete=1&amp;wdredirectionreason=Unified_SingleFlush&amp;rct=Medium&amp;ctp=LeastProtected" TargetMode="External" Id="rId26" /><Relationship Type="http://schemas.openxmlformats.org/officeDocument/2006/relationships/hyperlink" Target="https://usc-word-edit.officeapps.live.com/we/wordeditorframe.aspx?ui=en%2DUS&amp;rs=en%2DUS&amp;wopisrc=https%3A%2F%2Fmedstarcloud-my.sharepoint.com%2Fpersonal%2Fdelisia_l_wicks_medstar_net%2F_vti_bin%2Fwopi.ashx%2Ffiles%2F58ccad7e417a4a05b8d2721d0029361a&amp;wdenableroaming=1&amp;mscc=1&amp;wdodb=1&amp;hid=08F447A0-20EC-D000-0ABD-501C82E79242&amp;wdorigin=ItemsView&amp;wdhostclicktime=1655392417188&amp;jsapi=1&amp;jsapiver=v1&amp;newsession=1&amp;corrid=2a204ac7-4293-4dbf-b6f7-b761d2e81c7f&amp;usid=2a204ac7-4293-4dbf-b6f7-b761d2e81c7f&amp;sftc=1&amp;cac=1&amp;mtf=1&amp;sfp=1&amp;instantedit=1&amp;wopicomplete=1&amp;wdredirectionreason=Unified_SingleFlush&amp;rct=Medium&amp;ctp=LeastProtected" TargetMode="External" Id="rId21" /><Relationship Type="http://schemas.openxmlformats.org/officeDocument/2006/relationships/footer" Target="footer1.xml" Id="rId50" /><Relationship Type="http://schemas.openxmlformats.org/officeDocument/2006/relationships/hyperlink" Target="mailto:jessica.e.galarraga@medstar.net" TargetMode="External" Id="rId7" /><Relationship Type="http://schemas.openxmlformats.org/officeDocument/2006/relationships/styles" Target="styles.xml" Id="rId2" /><Relationship Type="http://schemas.openxmlformats.org/officeDocument/2006/relationships/hyperlink" Target="https://usc-word-edit.officeapps.live.com/we/wordeditorframe.aspx?ui=en%2DUS&amp;rs=en%2DUS&amp;wopisrc=https%3A%2F%2Fmedstarcloud-my.sharepoint.com%2Fpersonal%2Fdelisia_l_wicks_medstar_net%2F_vti_bin%2Fwopi.ashx%2Ffiles%2F58ccad7e417a4a05b8d2721d0029361a&amp;wdenableroaming=1&amp;mscc=1&amp;wdodb=1&amp;hid=08F447A0-20EC-D000-0ABD-501C82E79242&amp;wdorigin=ItemsView&amp;wdhostclicktime=1655392417188&amp;jsapi=1&amp;jsapiver=v1&amp;newsession=1&amp;corrid=2a204ac7-4293-4dbf-b6f7-b761d2e81c7f&amp;usid=2a204ac7-4293-4dbf-b6f7-b761d2e81c7f&amp;sftc=1&amp;cac=1&amp;mtf=1&amp;sfp=1&amp;instantedit=1&amp;wopicomplete=1&amp;wdredirectionreason=Unified_SingleFlush&amp;rct=Medium&amp;ctp=LeastProtected" TargetMode="External" Id="rId16" /><Relationship Type="http://schemas.openxmlformats.org/officeDocument/2006/relationships/hyperlink" Target="https://usc-word-edit.officeapps.live.com/we/wordeditorframe.aspx?ui=en%2DUS&amp;rs=en%2DUS&amp;wopisrc=https%3A%2F%2Fmedstarcloud-my.sharepoint.com%2Fpersonal%2Fdelisia_l_wicks_medstar_net%2F_vti_bin%2Fwopi.ashx%2Ffiles%2F58ccad7e417a4a05b8d2721d0029361a&amp;wdenableroaming=1&amp;mscc=1&amp;wdodb=1&amp;hid=08F447A0-20EC-D000-0ABD-501C82E79242&amp;wdorigin=ItemsView&amp;wdhostclicktime=1655392417188&amp;jsapi=1&amp;jsapiver=v1&amp;newsession=1&amp;corrid=2a204ac7-4293-4dbf-b6f7-b761d2e81c7f&amp;usid=2a204ac7-4293-4dbf-b6f7-b761d2e81c7f&amp;sftc=1&amp;cac=1&amp;mtf=1&amp;sfp=1&amp;instantedit=1&amp;wopicomplete=1&amp;wdredirectionreason=Unified_SingleFlush&amp;rct=Medium&amp;ctp=LeastProtected" TargetMode="External" Id="rId29" /><Relationship Type="http://schemas.openxmlformats.org/officeDocument/2006/relationships/hyperlink" Target="https://usc-word-edit.officeapps.live.com/we/wordeditorframe.aspx?ui=en%2DUS&amp;rs=en%2DUS&amp;wopisrc=https%3A%2F%2Fmedstarcloud-my.sharepoint.com%2Fpersonal%2Fdelisia_l_wicks_medstar_net%2F_vti_bin%2Fwopi.ashx%2Ffiles%2F58ccad7e417a4a05b8d2721d0029361a&amp;wdenableroaming=1&amp;mscc=1&amp;wdodb=1&amp;hid=08F447A0-20EC-D000-0ABD-501C82E79242&amp;wdorigin=ItemsView&amp;wdhostclicktime=1655392417188&amp;jsapi=1&amp;jsapiver=v1&amp;newsession=1&amp;corrid=2a204ac7-4293-4dbf-b6f7-b761d2e81c7f&amp;usid=2a204ac7-4293-4dbf-b6f7-b761d2e81c7f&amp;sftc=1&amp;cac=1&amp;mtf=1&amp;sfp=1&amp;instantedit=1&amp;wopicomplete=1&amp;wdredirectionreason=Unified_SingleFlush&amp;rct=Medium&amp;ctp=LeastProtected" TargetMode="External" Id="rId11" /><Relationship Type="http://schemas.openxmlformats.org/officeDocument/2006/relationships/hyperlink" Target="https://usc-word-edit.officeapps.live.com/we/wordeditorframe.aspx?ui=en%2DUS&amp;rs=en%2DUS&amp;wopisrc=https%3A%2F%2Fmedstarcloud-my.sharepoint.com%2Fpersonal%2Fdelisia_l_wicks_medstar_net%2F_vti_bin%2Fwopi.ashx%2Ffiles%2F58ccad7e417a4a05b8d2721d0029361a&amp;wdenableroaming=1&amp;mscc=1&amp;wdodb=1&amp;hid=08F447A0-20EC-D000-0ABD-501C82E79242&amp;wdorigin=ItemsView&amp;wdhostclicktime=1655392417188&amp;jsapi=1&amp;jsapiver=v1&amp;newsession=1&amp;corrid=2a204ac7-4293-4dbf-b6f7-b761d2e81c7f&amp;usid=2a204ac7-4293-4dbf-b6f7-b761d2e81c7f&amp;sftc=1&amp;cac=1&amp;mtf=1&amp;sfp=1&amp;instantedit=1&amp;wopicomplete=1&amp;wdredirectionreason=Unified_SingleFlush&amp;rct=Medium&amp;ctp=LeastProtected" TargetMode="External" Id="rId24" /><Relationship Type="http://schemas.openxmlformats.org/officeDocument/2006/relationships/hyperlink" Target="https://usc-word-edit.officeapps.live.com/we/wordeditorframe.aspx?ui=en%2DUS&amp;rs=en%2DUS&amp;wopisrc=https%3A%2F%2Fmedstarcloud-my.sharepoint.com%2Fpersonal%2Fdelisia_l_wicks_medstar_net%2F_vti_bin%2Fwopi.ashx%2Ffiles%2F58ccad7e417a4a05b8d2721d0029361a&amp;wdenableroaming=1&amp;mscc=1&amp;wdodb=1&amp;hid=08F447A0-20EC-D000-0ABD-501C82E79242&amp;wdorigin=ItemsView&amp;wdhostclicktime=1655392417188&amp;jsapi=1&amp;jsapiver=v1&amp;newsession=1&amp;corrid=2a204ac7-4293-4dbf-b6f7-b761d2e81c7f&amp;usid=2a204ac7-4293-4dbf-b6f7-b761d2e81c7f&amp;sftc=1&amp;cac=1&amp;mtf=1&amp;sfp=1&amp;instantedit=1&amp;wopicomplete=1&amp;wdredirectionreason=Unified_SingleFlush&amp;rct=Medium&amp;ctp=LeastProtected" TargetMode="External" Id="rId32" /><Relationship Type="http://schemas.openxmlformats.org/officeDocument/2006/relationships/theme" Target="theme/theme1.xml" Id="rId53" /><Relationship Type="http://schemas.openxmlformats.org/officeDocument/2006/relationships/footnotes" Target="footnotes.xml" Id="rId5" /><Relationship Type="http://schemas.openxmlformats.org/officeDocument/2006/relationships/hyperlink" Target="https://usc-word-edit.officeapps.live.com/we/wordeditorframe.aspx?ui=en%2DUS&amp;rs=en%2DUS&amp;wopisrc=https%3A%2F%2Fmedstarcloud-my.sharepoint.com%2Fpersonal%2Fdelisia_l_wicks_medstar_net%2F_vti_bin%2Fwopi.ashx%2Ffiles%2F58ccad7e417a4a05b8d2721d0029361a&amp;wdenableroaming=1&amp;mscc=1&amp;wdodb=1&amp;hid=08F447A0-20EC-D000-0ABD-501C82E79242&amp;wdorigin=ItemsView&amp;wdhostclicktime=1655392417188&amp;jsapi=1&amp;jsapiver=v1&amp;newsession=1&amp;corrid=2a204ac7-4293-4dbf-b6f7-b761d2e81c7f&amp;usid=2a204ac7-4293-4dbf-b6f7-b761d2e81c7f&amp;sftc=1&amp;cac=1&amp;mtf=1&amp;sfp=1&amp;instantedit=1&amp;wopicomplete=1&amp;wdredirectionreason=Unified_SingleFlush&amp;rct=Medium&amp;ctp=LeastProtected" TargetMode="External" Id="rId10" /><Relationship Type="http://schemas.openxmlformats.org/officeDocument/2006/relationships/hyperlink" Target="https://usc-word-edit.officeapps.live.com/we/wordeditorframe.aspx?ui=en%2DUS&amp;rs=en%2DUS&amp;wopisrc=https%3A%2F%2Fmedstarcloud-my.sharepoint.com%2Fpersonal%2Fdelisia_l_wicks_medstar_net%2F_vti_bin%2Fwopi.ashx%2Ffiles%2F58ccad7e417a4a05b8d2721d0029361a&amp;wdenableroaming=1&amp;mscc=1&amp;wdodb=1&amp;hid=08F447A0-20EC-D000-0ABD-501C82E79242&amp;wdorigin=ItemsView&amp;wdhostclicktime=1655392417188&amp;jsapi=1&amp;jsapiver=v1&amp;newsession=1&amp;corrid=2a204ac7-4293-4dbf-b6f7-b761d2e81c7f&amp;usid=2a204ac7-4293-4dbf-b6f7-b761d2e81c7f&amp;sftc=1&amp;cac=1&amp;mtf=1&amp;sfp=1&amp;instantedit=1&amp;wopicomplete=1&amp;wdredirectionreason=Unified_SingleFlush&amp;rct=Medium&amp;ctp=LeastProtected" TargetMode="External" Id="rId19" /><Relationship Type="http://schemas.openxmlformats.org/officeDocument/2006/relationships/hyperlink" Target="https://usc-word-edit.officeapps.live.com/we/wordeditorframe.aspx?ui=en%2DUS&amp;rs=en%2DUS&amp;wopisrc=https%3A%2F%2Fmedstarcloud-my.sharepoint.com%2Fpersonal%2Fdelisia_l_wicks_medstar_net%2F_vti_bin%2Fwopi.ashx%2Ffiles%2F58ccad7e417a4a05b8d2721d0029361a&amp;wdenableroaming=1&amp;mscc=1&amp;wdodb=1&amp;hid=08F447A0-20EC-D000-0ABD-501C82E79242&amp;wdorigin=ItemsView&amp;wdhostclicktime=1655392417188&amp;jsapi=1&amp;jsapiver=v1&amp;newsession=1&amp;corrid=2a204ac7-4293-4dbf-b6f7-b761d2e81c7f&amp;usid=2a204ac7-4293-4dbf-b6f7-b761d2e81c7f&amp;sftc=1&amp;cac=1&amp;mtf=1&amp;sfp=1&amp;instantedit=1&amp;wopicomplete=1&amp;wdredirectionreason=Unified_SingleFlush&amp;rct=Medium&amp;ctp=LeastProtected" TargetMode="External" Id="rId31" /><Relationship Type="http://schemas.microsoft.com/office/2011/relationships/people" Target="people.xml" Id="rId52" /><Relationship Type="http://schemas.openxmlformats.org/officeDocument/2006/relationships/webSettings" Target="webSettings.xml" Id="rId4" /><Relationship Type="http://schemas.openxmlformats.org/officeDocument/2006/relationships/hyperlink" Target="https://usc-word-edit.officeapps.live.com/we/wordeditorframe.aspx?ui=en%2DUS&amp;rs=en%2DUS&amp;wopisrc=https%3A%2F%2Fmedstarcloud-my.sharepoint.com%2Fpersonal%2Fdelisia_l_wicks_medstar_net%2F_vti_bin%2Fwopi.ashx%2Ffiles%2F58ccad7e417a4a05b8d2721d0029361a&amp;wdenableroaming=1&amp;mscc=1&amp;wdodb=1&amp;hid=08F447A0-20EC-D000-0ABD-501C82E79242&amp;wdorigin=ItemsView&amp;wdhostclicktime=1655392417188&amp;jsapi=1&amp;jsapiver=v1&amp;newsession=1&amp;corrid=2a204ac7-4293-4dbf-b6f7-b761d2e81c7f&amp;usid=2a204ac7-4293-4dbf-b6f7-b761d2e81c7f&amp;sftc=1&amp;cac=1&amp;mtf=1&amp;sfp=1&amp;instantedit=1&amp;wopicomplete=1&amp;wdredirectionreason=Unified_SingleFlush&amp;rct=Medium&amp;ctp=LeastProtected" TargetMode="External" Id="rId9" /><Relationship Type="http://schemas.openxmlformats.org/officeDocument/2006/relationships/hyperlink" Target="https://usc-word-edit.officeapps.live.com/we/wordeditorframe.aspx?ui=en%2DUS&amp;rs=en%2DUS&amp;wopisrc=https%3A%2F%2Fmedstarcloud-my.sharepoint.com%2Fpersonal%2Fdelisia_l_wicks_medstar_net%2F_vti_bin%2Fwopi.ashx%2Ffiles%2F58ccad7e417a4a05b8d2721d0029361a&amp;wdenableroaming=1&amp;mscc=1&amp;wdodb=1&amp;hid=08F447A0-20EC-D000-0ABD-501C82E79242&amp;wdorigin=ItemsView&amp;wdhostclicktime=1655392417188&amp;jsapi=1&amp;jsapiver=v1&amp;newsession=1&amp;corrid=2a204ac7-4293-4dbf-b6f7-b761d2e81c7f&amp;usid=2a204ac7-4293-4dbf-b6f7-b761d2e81c7f&amp;sftc=1&amp;cac=1&amp;mtf=1&amp;sfp=1&amp;instantedit=1&amp;wopicomplete=1&amp;wdredirectionreason=Unified_SingleFlush&amp;rct=Medium&amp;ctp=LeastProtected" TargetMode="External" Id="rId14" /><Relationship Type="http://schemas.openxmlformats.org/officeDocument/2006/relationships/hyperlink" Target="https://usc-word-edit.officeapps.live.com/we/wordeditorframe.aspx?ui=en%2DUS&amp;rs=en%2DUS&amp;wopisrc=https%3A%2F%2Fmedstarcloud-my.sharepoint.com%2Fpersonal%2Fdelisia_l_wicks_medstar_net%2F_vti_bin%2Fwopi.ashx%2Ffiles%2F58ccad7e417a4a05b8d2721d0029361a&amp;wdenableroaming=1&amp;mscc=1&amp;wdodb=1&amp;hid=08F447A0-20EC-D000-0ABD-501C82E79242&amp;wdorigin=ItemsView&amp;wdhostclicktime=1655392417188&amp;jsapi=1&amp;jsapiver=v1&amp;newsession=1&amp;corrid=2a204ac7-4293-4dbf-b6f7-b761d2e81c7f&amp;usid=2a204ac7-4293-4dbf-b6f7-b761d2e81c7f&amp;sftc=1&amp;cac=1&amp;mtf=1&amp;sfp=1&amp;instantedit=1&amp;wopicomplete=1&amp;wdredirectionreason=Unified_SingleFlush&amp;rct=Medium&amp;ctp=LeastProtected" TargetMode="External" Id="rId22" /><Relationship Type="http://schemas.openxmlformats.org/officeDocument/2006/relationships/hyperlink" Target="https://usc-word-edit.officeapps.live.com/we/wordeditorframe.aspx?ui=en%2DUS&amp;rs=en%2DUS&amp;wopisrc=https%3A%2F%2Fmedstarcloud-my.sharepoint.com%2Fpersonal%2Fdelisia_l_wicks_medstar_net%2F_vti_bin%2Fwopi.ashx%2Ffiles%2F58ccad7e417a4a05b8d2721d0029361a&amp;wdenableroaming=1&amp;mscc=1&amp;wdodb=1&amp;hid=08F447A0-20EC-D000-0ABD-501C82E79242&amp;wdorigin=ItemsView&amp;wdhostclicktime=1655392417188&amp;jsapi=1&amp;jsapiver=v1&amp;newsession=1&amp;corrid=2a204ac7-4293-4dbf-b6f7-b761d2e81c7f&amp;usid=2a204ac7-4293-4dbf-b6f7-b761d2e81c7f&amp;sftc=1&amp;cac=1&amp;mtf=1&amp;sfp=1&amp;instantedit=1&amp;wopicomplete=1&amp;wdredirectionreason=Unified_SingleFlush&amp;rct=Medium&amp;ctp=LeastProtected" TargetMode="External" Id="rId27" /><Relationship Type="http://schemas.openxmlformats.org/officeDocument/2006/relationships/hyperlink" Target="https://usc-word-edit.officeapps.live.com/we/wordeditorframe.aspx?ui=en%2DUS&amp;rs=en%2DUS&amp;wopisrc=https%3A%2F%2Fmedstarcloud-my.sharepoint.com%2Fpersonal%2Fdelisia_l_wicks_medstar_net%2F_vti_bin%2Fwopi.ashx%2Ffiles%2F58ccad7e417a4a05b8d2721d0029361a&amp;wdenableroaming=1&amp;mscc=1&amp;wdodb=1&amp;hid=08F447A0-20EC-D000-0ABD-501C82E79242&amp;wdorigin=ItemsView&amp;wdhostclicktime=1655392417188&amp;jsapi=1&amp;jsapiver=v1&amp;newsession=1&amp;corrid=2a204ac7-4293-4dbf-b6f7-b761d2e81c7f&amp;usid=2a204ac7-4293-4dbf-b6f7-b761d2e81c7f&amp;sftc=1&amp;cac=1&amp;mtf=1&amp;sfp=1&amp;instantedit=1&amp;wopicomplete=1&amp;wdredirectionreason=Unified_SingleFlush&amp;rct=Medium&amp;ctp=LeastProtected" TargetMode="External" Id="rId30" /><Relationship Type="http://schemas.microsoft.com/office/2011/relationships/commentsExtended" Target="commentsExtended.xml" Id="rId35" /><Relationship Type="http://schemas.openxmlformats.org/officeDocument/2006/relationships/hyperlink" Target="https://usc-word-edit.officeapps.live.com/we/wordeditorframe.aspx?ui=en%2DUS&amp;rs=en%2DUS&amp;wopisrc=https%3A%2F%2Fmedstarcloud-my.sharepoint.com%2Fpersonal%2Fdelisia_l_wicks_medstar_net%2F_vti_bin%2Fwopi.ashx%2Ffiles%2F58ccad7e417a4a05b8d2721d0029361a&amp;wdenableroaming=1&amp;mscc=1&amp;wdodb=1&amp;hid=08F447A0-20EC-D000-0ABD-501C82E79242&amp;wdorigin=ItemsView&amp;wdhostclicktime=1655392417188&amp;jsapi=1&amp;jsapiver=v1&amp;newsession=1&amp;corrid=2a204ac7-4293-4dbf-b6f7-b761d2e81c7f&amp;usid=2a204ac7-4293-4dbf-b6f7-b761d2e81c7f&amp;sftc=1&amp;cac=1&amp;mtf=1&amp;sfp=1&amp;instantedit=1&amp;wopicomplete=1&amp;wdredirectionreason=Unified_SingleFlush&amp;rct=Medium&amp;ctp=LeastProtected" TargetMode="External" Id="rId8" /><Relationship Type="http://schemas.openxmlformats.org/officeDocument/2006/relationships/fontTable" Target="fontTable.xml" Id="rId51" /><Relationship Type="http://schemas.openxmlformats.org/officeDocument/2006/relationships/settings" Target="settings.xml" Id="rId3" /><Relationship Type="http://schemas.openxmlformats.org/officeDocument/2006/relationships/hyperlink" Target="https://usc-word-edit.officeapps.live.com/we/wordeditorframe.aspx?ui=en%2DUS&amp;rs=en%2DUS&amp;wopisrc=https%3A%2F%2Fmedstarcloud-my.sharepoint.com%2Fpersonal%2Fdelisia_l_wicks_medstar_net%2F_vti_bin%2Fwopi.ashx%2Ffiles%2F58ccad7e417a4a05b8d2721d0029361a&amp;wdenableroaming=1&amp;mscc=1&amp;wdodb=1&amp;hid=08F447A0-20EC-D000-0ABD-501C82E79242&amp;wdorigin=ItemsView&amp;wdhostclicktime=1655392417188&amp;jsapi=1&amp;jsapiver=v1&amp;newsession=1&amp;corrid=2a204ac7-4293-4dbf-b6f7-b761d2e81c7f&amp;usid=2a204ac7-4293-4dbf-b6f7-b761d2e81c7f&amp;sftc=1&amp;cac=1&amp;mtf=1&amp;sfp=1&amp;instantedit=1&amp;wopicomplete=1&amp;wdredirectionreason=Unified_SingleFlush&amp;rct=Medium&amp;ctp=LeastProtected" TargetMode="External" Id="rId12" /><Relationship Type="http://schemas.openxmlformats.org/officeDocument/2006/relationships/hyperlink" Target="https://usc-word-edit.officeapps.live.com/we/wordeditorframe.aspx?ui=en%2DUS&amp;rs=en%2DUS&amp;wopisrc=https%3A%2F%2Fmedstarcloud-my.sharepoint.com%2Fpersonal%2Fdelisia_l_wicks_medstar_net%2F_vti_bin%2Fwopi.ashx%2Ffiles%2F58ccad7e417a4a05b8d2721d0029361a&amp;wdenableroaming=1&amp;mscc=1&amp;wdodb=1&amp;hid=08F447A0-20EC-D000-0ABD-501C82E79242&amp;wdorigin=ItemsView&amp;wdhostclicktime=1655392417188&amp;jsapi=1&amp;jsapiver=v1&amp;newsession=1&amp;corrid=2a204ac7-4293-4dbf-b6f7-b761d2e81c7f&amp;usid=2a204ac7-4293-4dbf-b6f7-b761d2e81c7f&amp;sftc=1&amp;cac=1&amp;mtf=1&amp;sfp=1&amp;instantedit=1&amp;wopicomplete=1&amp;wdredirectionreason=Unified_SingleFlush&amp;rct=Medium&amp;ctp=LeastProtected" TargetMode="External" Id="rId17" /><Relationship Type="http://schemas.openxmlformats.org/officeDocument/2006/relationships/hyperlink" Target="https://usc-word-edit.officeapps.live.com/we/wordeditorframe.aspx?ui=en%2DUS&amp;rs=en%2DUS&amp;wopisrc=https%3A%2F%2Fmedstarcloud-my.sharepoint.com%2Fpersonal%2Fdelisia_l_wicks_medstar_net%2F_vti_bin%2Fwopi.ashx%2Ffiles%2F58ccad7e417a4a05b8d2721d0029361a&amp;wdenableroaming=1&amp;mscc=1&amp;wdodb=1&amp;hid=08F447A0-20EC-D000-0ABD-501C82E79242&amp;wdorigin=ItemsView&amp;wdhostclicktime=1655392417188&amp;jsapi=1&amp;jsapiver=v1&amp;newsession=1&amp;corrid=2a204ac7-4293-4dbf-b6f7-b761d2e81c7f&amp;usid=2a204ac7-4293-4dbf-b6f7-b761d2e81c7f&amp;sftc=1&amp;cac=1&amp;mtf=1&amp;sfp=1&amp;instantedit=1&amp;wopicomplete=1&amp;wdredirectionreason=Unified_SingleFlush&amp;rct=Medium&amp;ctp=LeastProtected" TargetMode="External" Id="rId25" /><Relationship Type="http://schemas.openxmlformats.org/officeDocument/2006/relationships/hyperlink" Target="https://usc-word-edit.officeapps.live.com/we/wordeditorframe.aspx?ui=en%2DUS&amp;rs=en%2DUS&amp;wopisrc=https%3A%2F%2Fmedstarcloud-my.sharepoint.com%2Fpersonal%2Fdelisia_l_wicks_medstar_net%2F_vti_bin%2Fwopi.ashx%2Ffiles%2F58ccad7e417a4a05b8d2721d0029361a&amp;wdenableroaming=1&amp;mscc=1&amp;wdodb=1&amp;hid=08F447A0-20EC-D000-0ABD-501C82E79242&amp;wdorigin=ItemsView&amp;wdhostclicktime=1655392417188&amp;jsapi=1&amp;jsapiver=v1&amp;newsession=1&amp;corrid=2a204ac7-4293-4dbf-b6f7-b761d2e81c7f&amp;usid=2a204ac7-4293-4dbf-b6f7-b761d2e81c7f&amp;sftc=1&amp;cac=1&amp;mtf=1&amp;sfp=1&amp;instantedit=1&amp;wopicomplete=1&amp;wdredirectionreason=Unified_SingleFlush&amp;rct=Medium&amp;ctp=LeastProtected" TargetMode="External" Id="rId33" /><Relationship Type="http://schemas.openxmlformats.org/officeDocument/2006/relationships/hyperlink" Target="https://usc-word-edit.officeapps.live.com/we/wordeditorframe.aspx?ui=en%2DUS&amp;rs=en%2DUS&amp;wopisrc=https%3A%2F%2Fmedstarcloud-my.sharepoint.com%2Fpersonal%2Fdelisia_l_wicks_medstar_net%2F_vti_bin%2Fwopi.ashx%2Ffiles%2F58ccad7e417a4a05b8d2721d0029361a&amp;wdenableroaming=1&amp;mscc=1&amp;wdodb=1&amp;hid=08F447A0-20EC-D000-0ABD-501C82E79242&amp;wdorigin=ItemsView&amp;wdhostclicktime=1655392417188&amp;jsapi=1&amp;jsapiver=v1&amp;newsession=1&amp;corrid=2a204ac7-4293-4dbf-b6f7-b761d2e81c7f&amp;usid=2a204ac7-4293-4dbf-b6f7-b761d2e81c7f&amp;sftc=1&amp;cac=1&amp;mtf=1&amp;sfp=1&amp;instantedit=1&amp;wopicomplete=1&amp;wdredirectionreason=Unified_SingleFlush&amp;rct=Medium&amp;ctp=LeastProtected" TargetMode="Externa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usc-word-edit.officeapps.live.com/we/wordeditorframe.aspx?ui=en%2DUS&amp;rs=en%2DUS&amp;wopisrc=https%3A%2F%2Fmedstarcloud-my.sharepoint.com%2Fpersonal%2Fdelisia_l_wicks_medstar_net%2F_vti_bin%2Fwopi.ashx%2Ffiles%2F58ccad7e417a4a05b8d2721d0029361a&amp;wdenableroaming=1&amp;mscc=1&amp;wdodb=1&amp;hid=08F447A0-20EC-D000-0ABD-501C82E79242&amp;wdorigin=ItemsView&amp;wdhostclicktime=1655392417188&amp;jsapi=1&amp;jsapiver=v1&amp;newsession=1&amp;corrid=2a204ac7-4293-4dbf-b6f7-b761d2e81c7f&amp;usid=2a204ac7-4293-4dbf-b6f7-b761d2e81c7f&amp;sftc=1&amp;cac=1&amp;mtf=1&amp;sfp=1&amp;instantedit=1&amp;wopicomplete=1&amp;wdredirectionreason=Unified_SingleFlush&amp;rct=Medium&amp;ctp=LeastProtected" TargetMode="External" Id="rId15" /><Relationship Type="http://schemas.openxmlformats.org/officeDocument/2006/relationships/hyperlink" Target="https://usc-word-edit.officeapps.live.com/we/wordeditorframe.aspx?ui=en%2DUS&amp;rs=en%2DUS&amp;wopisrc=https%3A%2F%2Fmedstarcloud-my.sharepoint.com%2Fpersonal%2Fdelisia_l_wicks_medstar_net%2F_vti_bin%2Fwopi.ashx%2Ffiles%2F58ccad7e417a4a05b8d2721d0029361a&amp;wdenableroaming=1&amp;mscc=1&amp;wdodb=1&amp;hid=08F447A0-20EC-D000-0ABD-501C82E79242&amp;wdorigin=ItemsView&amp;wdhostclicktime=1655392417188&amp;jsapi=1&amp;jsapiver=v1&amp;newsession=1&amp;corrid=2a204ac7-4293-4dbf-b6f7-b761d2e81c7f&amp;usid=2a204ac7-4293-4dbf-b6f7-b761d2e81c7f&amp;sftc=1&amp;cac=1&amp;mtf=1&amp;sfp=1&amp;instantedit=1&amp;wopicomplete=1&amp;wdredirectionreason=Unified_SingleFlush&amp;rct=Medium&amp;ctp=LeastProtected" TargetMode="External" Id="rId23" /><Relationship Type="http://schemas.openxmlformats.org/officeDocument/2006/relationships/hyperlink" Target="https://usc-word-edit.officeapps.live.com/we/wordeditorframe.aspx?ui=en%2DUS&amp;rs=en%2DUS&amp;wopisrc=https%3A%2F%2Fmedstarcloud-my.sharepoint.com%2Fpersonal%2Fdelisia_l_wicks_medstar_net%2F_vti_bin%2Fwopi.ashx%2Ffiles%2F58ccad7e417a4a05b8d2721d0029361a&amp;wdenableroaming=1&amp;mscc=1&amp;wdodb=1&amp;hid=08F447A0-20EC-D000-0ABD-501C82E79242&amp;wdorigin=ItemsView&amp;wdhostclicktime=1655392417188&amp;jsapi=1&amp;jsapiver=v1&amp;newsession=1&amp;corrid=2a204ac7-4293-4dbf-b6f7-b761d2e81c7f&amp;usid=2a204ac7-4293-4dbf-b6f7-b761d2e81c7f&amp;sftc=1&amp;cac=1&amp;mtf=1&amp;sfp=1&amp;instantedit=1&amp;wopicomplete=1&amp;wdredirectionreason=Unified_SingleFlush&amp;rct=Medium&amp;ctp=LeastProtected" TargetMode="External" Id="rId28" /><Relationship Type="http://schemas.microsoft.com/office/2016/09/relationships/commentsIds" Target="commentsIds.xml" Id="rId36" /><Relationship Type="http://schemas.openxmlformats.org/officeDocument/2006/relationships/header" Target="header1.xml" Id="rId49" /><Relationship Type="http://schemas.openxmlformats.org/officeDocument/2006/relationships/hyperlink" Target="https://www.clinicalkey.es/playcontent/1-s2.0-S000293430700664X" TargetMode="External" Id="Rbf0185e2ab904d7f" /><Relationship Type="http://schemas.openxmlformats.org/officeDocument/2006/relationships/hyperlink" Target="https://www.cochranelibrary.com/cdsr/doi/10.1002/14651858.CD007333.pub2" TargetMode="External" Id="Rcebb019ed6a04f27" /><Relationship Type="http://schemas.openxmlformats.org/officeDocument/2006/relationships/hyperlink" Target="https://www.ncbi.nlm.nih.gov/pubmed/15563563" TargetMode="External" Id="R93e0583d7924400b" /><Relationship Type="http://schemas.openxmlformats.org/officeDocument/2006/relationships/hyperlink" Target="https://www.ncbi.nlm.nih.gov/pubmed/14569100" TargetMode="External" Id="R1208bae2efa84585" /><Relationship Type="http://schemas.openxmlformats.org/officeDocument/2006/relationships/hyperlink" Target="https://escholarship.org/uc/item/12d8j360" TargetMode="External" Id="Rbff045aec0ee4f5c" /><Relationship Type="http://schemas.openxmlformats.org/officeDocument/2006/relationships/hyperlink" Target="http://cjasn.asnjournals.org/content/8/4/610.abstract" TargetMode="External" Id="R1efe8dc860bd434e" /><Relationship Type="http://schemas.openxmlformats.org/officeDocument/2006/relationships/hyperlink" Target="https://www.acpjournals.org/doi/abs/10.7326/0003-4819-137-6-200209170-00001" TargetMode="External" Id="R3cab1aeeb6064c11" /><Relationship Type="http://schemas.openxmlformats.org/officeDocument/2006/relationships/hyperlink" Target="https://www.ncbi.nlm.nih.gov/pubmed/12230348" TargetMode="External" Id="Rb343a1911fcb4607" /><Relationship Type="http://schemas.openxmlformats.org/officeDocument/2006/relationships/hyperlink" Target="https://dx.doi.org/10.1053/ajkd.1998.v32.pm9708613" TargetMode="External" Id="R11d8b02e1d0247a2" /><Relationship Type="http://schemas.openxmlformats.org/officeDocument/2006/relationships/hyperlink" Target="https://dx.doi.org/10.1053/j.ajkd.2019.05.003" TargetMode="External" Id="R0796dfc090d74c79" /><Relationship Type="http://schemas.openxmlformats.org/officeDocument/2006/relationships/hyperlink" Target="https://www.jstor.org/stable/3768193" TargetMode="External" Id="R9ea3577ff4ba49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Wicks, Delisia L</dc:creator>
  <keywords/>
  <dc:description/>
  <lastModifiedBy>Wicks, Delisia L</lastModifiedBy>
  <revision>13</revision>
  <dcterms:created xsi:type="dcterms:W3CDTF">2022-06-16T14:18:00.0000000Z</dcterms:created>
  <dcterms:modified xsi:type="dcterms:W3CDTF">2022-07-14T18:06:54.5168509Z</dcterms:modified>
</coreProperties>
</file>