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D5AB7" w14:textId="20835F12" w:rsidR="006B0EE8" w:rsidRDefault="008C6513" w:rsidP="007E138E">
      <w:pPr>
        <w:pStyle w:val="Title"/>
      </w:pPr>
      <w:r>
        <w:t xml:space="preserve">Solana Grant Proposal for </w:t>
      </w:r>
      <w:r w:rsidR="00CD22A0">
        <w:t xml:space="preserve">an </w:t>
      </w:r>
      <w:r w:rsidR="007E138E">
        <w:t>NFT</w:t>
      </w:r>
      <w:r w:rsidR="00DA774A">
        <w:rPr>
          <w:rStyle w:val="FootnoteReference"/>
        </w:rPr>
        <w:footnoteReference w:id="1"/>
      </w:r>
      <w:r w:rsidR="0082687C">
        <w:t>/</w:t>
      </w:r>
      <w:r w:rsidR="0082687C" w:rsidRPr="0082687C">
        <w:t xml:space="preserve"> </w:t>
      </w:r>
      <w:r w:rsidR="0082687C">
        <w:t>RSA</w:t>
      </w:r>
      <w:r w:rsidR="00CD22A0">
        <w:t xml:space="preserve"> Program</w:t>
      </w:r>
    </w:p>
    <w:p w14:paraId="2E765467" w14:textId="0C90CC36" w:rsidR="007E138E" w:rsidRDefault="007E138E"/>
    <w:p w14:paraId="29F6F076" w14:textId="334E3037" w:rsidR="007E138E" w:rsidRDefault="00252A88" w:rsidP="007E138E">
      <w:pPr>
        <w:pStyle w:val="Heading1"/>
      </w:pPr>
      <w:r>
        <w:t xml:space="preserve">Why do we need another </w:t>
      </w:r>
      <w:r w:rsidR="008C6513">
        <w:t>NFT</w:t>
      </w:r>
      <w:r>
        <w:t xml:space="preserve"> program on Solana</w:t>
      </w:r>
      <w:r w:rsidR="00DA774A">
        <w:t>?</w:t>
      </w:r>
    </w:p>
    <w:p w14:paraId="52F9FF46" w14:textId="0B5E7023" w:rsidR="00DA774A" w:rsidRDefault="007E138E">
      <w:r>
        <w:t xml:space="preserve">NFT/RSA is a non-fungible token </w:t>
      </w:r>
      <w:r w:rsidR="00252A88">
        <w:t>program</w:t>
      </w:r>
      <w:r>
        <w:t xml:space="preserve"> </w:t>
      </w:r>
      <w:r w:rsidR="00DA774A">
        <w:t>that uses</w:t>
      </w:r>
      <w:r>
        <w:t xml:space="preserve"> </w:t>
      </w:r>
      <w:r w:rsidR="00E15AC4">
        <w:t xml:space="preserve">one token account and N tracking accounts </w:t>
      </w:r>
      <w:r w:rsidR="00DA774A">
        <w:t xml:space="preserve">to </w:t>
      </w:r>
      <w:r w:rsidR="00E15AC4">
        <w:t xml:space="preserve">batch </w:t>
      </w:r>
      <w:r w:rsidR="00DA774A">
        <w:t>NFT mints, transfers, and burns,</w:t>
      </w:r>
      <w:r>
        <w:t xml:space="preserve"> on the Solana blockchain. </w:t>
      </w:r>
      <w:r w:rsidR="00DA774A">
        <w:t xml:space="preserve">The </w:t>
      </w:r>
      <w:r w:rsidR="00972101">
        <w:t xml:space="preserve">Solana </w:t>
      </w:r>
      <w:r w:rsidR="00DA774A">
        <w:t>program library already</w:t>
      </w:r>
      <w:r w:rsidR="00972101">
        <w:t xml:space="preserve"> provides a non-fungible token program</w:t>
      </w:r>
      <w:r w:rsidR="00DA774A">
        <w:t xml:space="preserve"> </w:t>
      </w:r>
      <w:r w:rsidR="00E15AC4">
        <w:t>but it</w:t>
      </w:r>
      <w:r w:rsidR="00DA774A">
        <w:t xml:space="preserve"> uses </w:t>
      </w:r>
      <w:r w:rsidR="00E15AC4">
        <w:t>one account per token</w:t>
      </w:r>
      <w:r w:rsidR="00CD22A0">
        <w:t>,</w:t>
      </w:r>
      <w:r w:rsidR="00E15AC4">
        <w:t xml:space="preserve"> and N tracking accounts per token account, </w:t>
      </w:r>
      <w:r w:rsidR="00DA774A">
        <w:t xml:space="preserve">to track </w:t>
      </w:r>
      <w:r w:rsidR="00E15AC4">
        <w:t xml:space="preserve">single </w:t>
      </w:r>
      <w:r w:rsidR="00DA774A">
        <w:t>NFT mints, transfers, and burns, on the Solana blockchain</w:t>
      </w:r>
      <w:r w:rsidR="00972101">
        <w:t>.</w:t>
      </w:r>
      <w:r w:rsidR="00DA774A">
        <w:t xml:space="preserve"> </w:t>
      </w:r>
    </w:p>
    <w:p w14:paraId="0D8D7EBC" w14:textId="41C17D89" w:rsidR="00DA774A" w:rsidRDefault="00E15AC4">
      <w:r>
        <w:t>T</w:t>
      </w:r>
      <w:r w:rsidR="00DA774A">
        <w:t>he NFT/RSA program</w:t>
      </w:r>
      <w:r>
        <w:t xml:space="preserve"> use</w:t>
      </w:r>
      <w:r w:rsidR="00CD22A0">
        <w:t>s</w:t>
      </w:r>
      <w:r>
        <w:t xml:space="preserve"> RSA accumulators</w:t>
      </w:r>
      <w:r w:rsidR="00ED1BFF">
        <w:rPr>
          <w:rStyle w:val="FootnoteReference"/>
        </w:rPr>
        <w:footnoteReference w:id="2"/>
      </w:r>
      <w:r>
        <w:t xml:space="preserve"> and zero knowledge proofs to batch </w:t>
      </w:r>
      <w:r w:rsidR="00ED1BFF">
        <w:t>hundreds</w:t>
      </w:r>
      <w:r>
        <w:t xml:space="preserve">, even </w:t>
      </w:r>
      <w:r w:rsidR="0082687C">
        <w:t>thousands</w:t>
      </w:r>
      <w:r>
        <w:t>, of</w:t>
      </w:r>
      <w:r w:rsidR="00DA774A">
        <w:t xml:space="preserve"> NFT mints, transfers, and burns</w:t>
      </w:r>
      <w:r>
        <w:t xml:space="preserve"> in constant space and time</w:t>
      </w:r>
      <w:r w:rsidR="00DA774A">
        <w:t>.</w:t>
      </w:r>
      <w:r w:rsidR="00823E78">
        <w:t xml:space="preserve"> Each batch mint, transfer, or burn requires only </w:t>
      </w:r>
      <w:r w:rsidR="00E761A6">
        <w:t>3</w:t>
      </w:r>
      <w:r w:rsidR="00823E78">
        <w:t xml:space="preserve"> to </w:t>
      </w:r>
      <w:r w:rsidR="00E761A6">
        <w:t>6</w:t>
      </w:r>
      <w:r w:rsidR="00823E78">
        <w:t xml:space="preserve"> transactions to track NFT ownership. Uploading NFT public or private URI’s to</w:t>
      </w:r>
      <w:r>
        <w:t xml:space="preserve"> the Solana ledger is option</w:t>
      </w:r>
      <w:r w:rsidR="00CD22A0">
        <w:t>al and not part of NFT mint, transfer, and burn transactions</w:t>
      </w:r>
      <w:r>
        <w:t>.</w:t>
      </w:r>
    </w:p>
    <w:p w14:paraId="52E95E55" w14:textId="21A53A4F" w:rsidR="00252A88" w:rsidRDefault="00034AF2" w:rsidP="00252A88">
      <w:pPr>
        <w:pStyle w:val="Heading1"/>
      </w:pPr>
      <w:r>
        <w:t>The N</w:t>
      </w:r>
      <w:r w:rsidR="00252A88">
        <w:t xml:space="preserve">FT/RSA </w:t>
      </w:r>
      <w:r>
        <w:t>Program</w:t>
      </w:r>
    </w:p>
    <w:p w14:paraId="4F247FC6" w14:textId="0B55F9E5" w:rsidR="00034AF2" w:rsidRDefault="007E138E" w:rsidP="00034AF2">
      <w:r>
        <w:t xml:space="preserve">The </w:t>
      </w:r>
      <w:r w:rsidR="00034AF2">
        <w:t xml:space="preserve">Solana </w:t>
      </w:r>
      <w:r>
        <w:t xml:space="preserve">blockchain provides a tamper-proof, </w:t>
      </w:r>
      <w:r w:rsidR="00CD22A0">
        <w:t xml:space="preserve">and </w:t>
      </w:r>
      <w:r>
        <w:t>non-repudiable</w:t>
      </w:r>
      <w:r w:rsidR="00CD22A0">
        <w:t>,</w:t>
      </w:r>
      <w:r>
        <w:t xml:space="preserve"> ledger for tracking NFT </w:t>
      </w:r>
      <w:r w:rsidR="0082687C">
        <w:t xml:space="preserve">ownership </w:t>
      </w:r>
      <w:r w:rsidR="00CD22A0">
        <w:t>transactions</w:t>
      </w:r>
      <w:r>
        <w:t>.</w:t>
      </w:r>
      <w:r w:rsidR="00034AF2" w:rsidRPr="00034AF2">
        <w:t xml:space="preserve"> </w:t>
      </w:r>
      <w:r w:rsidR="00034AF2">
        <w:t xml:space="preserve">The Solana blockchain </w:t>
      </w:r>
      <w:r w:rsidR="00CD22A0">
        <w:t>also</w:t>
      </w:r>
      <w:r w:rsidR="00034AF2">
        <w:t xml:space="preserve"> serializ</w:t>
      </w:r>
      <w:r w:rsidR="00CD22A0">
        <w:t>es the execution of</w:t>
      </w:r>
      <w:r w:rsidR="00034AF2">
        <w:t xml:space="preserve"> transactions globally so </w:t>
      </w:r>
      <w:r w:rsidR="00CD22A0">
        <w:t xml:space="preserve">the NFT/RSA program </w:t>
      </w:r>
      <w:r w:rsidR="00B87249">
        <w:t xml:space="preserve">only </w:t>
      </w:r>
      <w:r w:rsidR="00964A7E">
        <w:t>need</w:t>
      </w:r>
      <w:r w:rsidR="00CD22A0">
        <w:t>s</w:t>
      </w:r>
      <w:r w:rsidR="00964A7E">
        <w:t xml:space="preserve"> to</w:t>
      </w:r>
      <w:r w:rsidR="00034AF2">
        <w:t xml:space="preserve"> </w:t>
      </w:r>
      <w:r w:rsidR="00B87249">
        <w:t xml:space="preserve">enforce </w:t>
      </w:r>
      <w:r w:rsidR="003B15F2">
        <w:t>two</w:t>
      </w:r>
      <w:r w:rsidR="00B87249">
        <w:t xml:space="preserve"> </w:t>
      </w:r>
      <w:r w:rsidR="0082687C">
        <w:t>transaction validation rules</w:t>
      </w:r>
      <w:r w:rsidR="00034AF2">
        <w:t>.</w:t>
      </w:r>
    </w:p>
    <w:p w14:paraId="4708D588" w14:textId="25DD01A8" w:rsidR="00144E5B" w:rsidRDefault="00034AF2" w:rsidP="00B87249">
      <w:pPr>
        <w:pStyle w:val="ListParagraph"/>
        <w:numPr>
          <w:ilvl w:val="0"/>
          <w:numId w:val="3"/>
        </w:numPr>
      </w:pPr>
      <w:r>
        <w:t>No duplicate tokens.</w:t>
      </w:r>
    </w:p>
    <w:p w14:paraId="4EC28ADB" w14:textId="65BE1CE3" w:rsidR="00144E5B" w:rsidRDefault="00034AF2" w:rsidP="00B87249">
      <w:pPr>
        <w:pStyle w:val="ListParagraph"/>
        <w:numPr>
          <w:ilvl w:val="0"/>
          <w:numId w:val="3"/>
        </w:numPr>
      </w:pPr>
      <w:r>
        <w:t>No double transfers.</w:t>
      </w:r>
    </w:p>
    <w:p w14:paraId="69DEF9FF" w14:textId="727F9345" w:rsidR="003B15F2" w:rsidRDefault="00964A7E" w:rsidP="00964A7E">
      <w:r>
        <w:t>A</w:t>
      </w:r>
      <w:r w:rsidR="003B15F2">
        <w:t>n</w:t>
      </w:r>
      <w:r>
        <w:t xml:space="preserve"> NFT has a </w:t>
      </w:r>
      <w:r w:rsidR="00ED1BFF">
        <w:t xml:space="preserve">unique </w:t>
      </w:r>
      <w:r>
        <w:t xml:space="preserve">URI that references something of value. This URI is not stored in account state but can be </w:t>
      </w:r>
      <w:r w:rsidR="00ED1BFF">
        <w:t xml:space="preserve">uploaded to the Solana </w:t>
      </w:r>
      <w:r>
        <w:t xml:space="preserve">ledger </w:t>
      </w:r>
      <w:r w:rsidR="00ED1BFF">
        <w:t>so satisfy data availability requirements</w:t>
      </w:r>
      <w:r>
        <w:t>.</w:t>
      </w:r>
      <w:r w:rsidR="00ED1BFF">
        <w:t xml:space="preserve"> A</w:t>
      </w:r>
      <w:r w:rsidR="003B15F2">
        <w:t>n NFT</w:t>
      </w:r>
      <w:r w:rsidR="00ED1BFF">
        <w:t xml:space="preserve"> URI is hashed to a prime number</w:t>
      </w:r>
      <w:r w:rsidR="00C90272">
        <w:t xml:space="preserve">. </w:t>
      </w:r>
      <w:r w:rsidR="003B15F2">
        <w:t>P</w:t>
      </w:r>
      <w:r w:rsidR="00C90272">
        <w:t>rime number</w:t>
      </w:r>
      <w:r w:rsidR="003B15F2">
        <w:t>s are batched by computing the product of the prime numbers, and they are</w:t>
      </w:r>
      <w:r w:rsidR="00C90272">
        <w:t xml:space="preserve"> inserted </w:t>
      </w:r>
      <w:r w:rsidR="003B15F2">
        <w:t xml:space="preserve">into </w:t>
      </w:r>
      <w:r w:rsidR="00C90272">
        <w:t xml:space="preserve">or deleted from </w:t>
      </w:r>
      <w:r w:rsidR="003B15F2">
        <w:t>token and tracking account</w:t>
      </w:r>
      <w:r w:rsidR="00C90272">
        <w:t xml:space="preserve"> RSA accumulator</w:t>
      </w:r>
      <w:r w:rsidR="003B15F2">
        <w:t xml:space="preserve">s using modular exponentiation operations. </w:t>
      </w:r>
      <w:r w:rsidR="0001675C">
        <w:t>Clients use s</w:t>
      </w:r>
      <w:r w:rsidR="003B15F2">
        <w:t xml:space="preserve">mall, constant sized, zero knowledge </w:t>
      </w:r>
      <w:r w:rsidR="0001675C">
        <w:t xml:space="preserve">set commitments, </w:t>
      </w:r>
      <w:r w:rsidR="003B15F2">
        <w:t>set membership</w:t>
      </w:r>
      <w:r w:rsidR="0001675C">
        <w:t xml:space="preserve"> proofs, and set </w:t>
      </w:r>
      <w:r w:rsidR="003B15F2">
        <w:t xml:space="preserve">non-membership proofs </w:t>
      </w:r>
      <w:r w:rsidR="0001675C">
        <w:t>to prove knowledge of exponents because it is not practical to transfer these large exponents to the NFT/RSA program. The NFT/RSA program updates the account RSA accumulator state if these proofs of exponentiation can be verified.</w:t>
      </w:r>
    </w:p>
    <w:p w14:paraId="4C966B0D" w14:textId="68D2FD7C" w:rsidR="007E138E" w:rsidRDefault="00C54D80">
      <w:r>
        <w:t xml:space="preserve">The </w:t>
      </w:r>
      <w:r w:rsidR="00964A7E">
        <w:t>NFT/RSA program creates two types of account</w:t>
      </w:r>
      <w:r>
        <w:t>.</w:t>
      </w:r>
    </w:p>
    <w:p w14:paraId="7152633F" w14:textId="762E5CC5" w:rsidR="00C54D80" w:rsidRDefault="006E7780" w:rsidP="00C54D80">
      <w:pPr>
        <w:pStyle w:val="ListParagraph"/>
        <w:numPr>
          <w:ilvl w:val="0"/>
          <w:numId w:val="5"/>
        </w:numPr>
      </w:pPr>
      <w:r>
        <w:t>Token</w:t>
      </w:r>
      <w:r w:rsidR="00C54D80">
        <w:t xml:space="preserve"> account</w:t>
      </w:r>
      <w:r w:rsidR="00964A7E">
        <w:t xml:space="preserve">. </w:t>
      </w:r>
      <w:r>
        <w:t>Token mints and burns are tracked by inserting and deleting prime numbers into the token account accumulator</w:t>
      </w:r>
      <w:r w:rsidR="00C54D80">
        <w:t>.</w:t>
      </w:r>
      <w:r>
        <w:t xml:space="preserve"> Inserts and deletions can be performed as single or batched operations. </w:t>
      </w:r>
    </w:p>
    <w:p w14:paraId="3C13B65F" w14:textId="269C5178" w:rsidR="00C54D80" w:rsidRDefault="006E7780" w:rsidP="00C54D80">
      <w:pPr>
        <w:pStyle w:val="ListParagraph"/>
        <w:numPr>
          <w:ilvl w:val="0"/>
          <w:numId w:val="5"/>
        </w:numPr>
      </w:pPr>
      <w:r>
        <w:t>Tracking</w:t>
      </w:r>
      <w:r w:rsidR="00C54D80">
        <w:t xml:space="preserve"> account. </w:t>
      </w:r>
      <w:r>
        <w:t>Token ownership is tracked by inserting and deleting prime numbers into tracking account accumulators</w:t>
      </w:r>
      <w:r w:rsidR="00232E47">
        <w:t>.</w:t>
      </w:r>
      <w:r w:rsidRPr="006E7780">
        <w:t xml:space="preserve"> </w:t>
      </w:r>
      <w:r>
        <w:t>Inserts and deletions can be performed as single or batched operations.</w:t>
      </w:r>
    </w:p>
    <w:p w14:paraId="2AF3504E" w14:textId="07A04D5C" w:rsidR="0001675C" w:rsidRDefault="00007449" w:rsidP="00D923F3">
      <w:pPr>
        <w:rPr>
          <w:rFonts w:eastAsiaTheme="minorEastAsia"/>
        </w:rPr>
      </w:pPr>
      <w:r>
        <w:rPr>
          <w:rFonts w:eastAsiaTheme="minorEastAsia"/>
        </w:rPr>
        <w:lastRenderedPageBreak/>
        <w:t>The following table illustrates</w:t>
      </w:r>
      <w:r w:rsidR="000D5095">
        <w:rPr>
          <w:rFonts w:eastAsiaTheme="minorEastAsia"/>
        </w:rPr>
        <w:t xml:space="preserve"> proof validations and RSA accumulator updates for program transactions</w:t>
      </w:r>
      <w:r w:rsidR="0001675C">
        <w:rPr>
          <w:rFonts w:eastAsiaTheme="minorEastAsia"/>
        </w:rPr>
        <w:t>.</w:t>
      </w:r>
    </w:p>
    <w:p w14:paraId="1035B028" w14:textId="19C91AA1" w:rsidR="000D5095" w:rsidRDefault="000D5095" w:rsidP="00AF4545">
      <w:pPr>
        <w:pStyle w:val="ListParagraph"/>
        <w:numPr>
          <w:ilvl w:val="0"/>
          <w:numId w:val="13"/>
        </w:numPr>
        <w:rPr>
          <w:rFonts w:eastAsiaTheme="minorEastAsia"/>
        </w:rPr>
      </w:pPr>
      <w:r>
        <w:rPr>
          <w:rFonts w:eastAsiaTheme="minorEastAsia"/>
        </w:rPr>
        <w:t xml:space="preserve">Initialize transactions store empty RSA accumulators ({}) in Token (TKA) and Tracking (TRA) account state. The NFT/RSA </w:t>
      </w:r>
    </w:p>
    <w:p w14:paraId="24E9B8A2" w14:textId="6AF6916B" w:rsidR="00D923F3" w:rsidRDefault="0001675C" w:rsidP="00AF4545">
      <w:pPr>
        <w:pStyle w:val="ListParagraph"/>
        <w:numPr>
          <w:ilvl w:val="0"/>
          <w:numId w:val="13"/>
        </w:numPr>
        <w:rPr>
          <w:rFonts w:eastAsiaTheme="minorEastAsia"/>
        </w:rPr>
      </w:pPr>
      <w:r>
        <w:rPr>
          <w:rFonts w:eastAsiaTheme="minorEastAsia"/>
        </w:rPr>
        <w:t>M</w:t>
      </w:r>
      <w:r w:rsidR="00007449" w:rsidRPr="0001675C">
        <w:rPr>
          <w:rFonts w:eastAsiaTheme="minorEastAsia"/>
        </w:rPr>
        <w:t xml:space="preserve">int, transfer, </w:t>
      </w:r>
      <w:r w:rsidRPr="0001675C">
        <w:rPr>
          <w:rFonts w:eastAsiaTheme="minorEastAsia"/>
        </w:rPr>
        <w:t xml:space="preserve">and </w:t>
      </w:r>
      <w:r w:rsidR="00007449" w:rsidRPr="0001675C">
        <w:rPr>
          <w:rFonts w:eastAsiaTheme="minorEastAsia"/>
        </w:rPr>
        <w:t>burn</w:t>
      </w:r>
      <w:r w:rsidRPr="0001675C">
        <w:rPr>
          <w:rFonts w:eastAsiaTheme="minorEastAsia"/>
        </w:rPr>
        <w:t xml:space="preserve"> ownership transactions </w:t>
      </w:r>
      <w:r w:rsidR="00EF4D57">
        <w:rPr>
          <w:rFonts w:eastAsiaTheme="minorEastAsia"/>
        </w:rPr>
        <w:t>update</w:t>
      </w:r>
      <w:r w:rsidRPr="0001675C">
        <w:rPr>
          <w:rFonts w:eastAsiaTheme="minorEastAsia"/>
        </w:rPr>
        <w:t xml:space="preserve"> RSA set accumulators ({}) stored in </w:t>
      </w:r>
      <w:r w:rsidR="00AF4545">
        <w:rPr>
          <w:rFonts w:eastAsiaTheme="minorEastAsia"/>
        </w:rPr>
        <w:t xml:space="preserve">a </w:t>
      </w:r>
      <w:r w:rsidRPr="0001675C">
        <w:rPr>
          <w:rFonts w:eastAsiaTheme="minorEastAsia"/>
        </w:rPr>
        <w:t xml:space="preserve">token (TKA) </w:t>
      </w:r>
      <w:r w:rsidR="00AF4545">
        <w:rPr>
          <w:rFonts w:eastAsiaTheme="minorEastAsia"/>
        </w:rPr>
        <w:t xml:space="preserve">account, </w:t>
      </w:r>
      <w:r w:rsidRPr="0001675C">
        <w:rPr>
          <w:rFonts w:eastAsiaTheme="minorEastAsia"/>
        </w:rPr>
        <w:t>and tracking (TRA) accounts</w:t>
      </w:r>
      <w:r w:rsidR="00AF4545">
        <w:rPr>
          <w:rFonts w:eastAsiaTheme="minorEastAsia"/>
        </w:rPr>
        <w:t xml:space="preserve"> with exponentials (E) that are the product of NFT prime numbers.</w:t>
      </w:r>
      <w:r w:rsidR="00865B1E" w:rsidRPr="0001675C">
        <w:rPr>
          <w:rFonts w:eastAsiaTheme="minorEastAsia"/>
        </w:rPr>
        <w:t xml:space="preserve"> </w:t>
      </w:r>
      <w:r w:rsidR="00AF4545">
        <w:rPr>
          <w:rFonts w:eastAsiaTheme="minorEastAsia"/>
        </w:rPr>
        <w:t>Insert: {u^E}. Delete: {u^1/E}.</w:t>
      </w:r>
    </w:p>
    <w:p w14:paraId="66D1EF06" w14:textId="4F364B82" w:rsidR="00EF4D57" w:rsidRPr="0001675C" w:rsidRDefault="000D5095" w:rsidP="0001675C">
      <w:pPr>
        <w:pStyle w:val="ListParagraph"/>
        <w:numPr>
          <w:ilvl w:val="0"/>
          <w:numId w:val="13"/>
        </w:numPr>
        <w:rPr>
          <w:rFonts w:eastAsiaTheme="minorEastAsia"/>
        </w:rPr>
      </w:pPr>
      <w:r>
        <w:rPr>
          <w:rFonts w:eastAsiaTheme="minorEastAsia"/>
        </w:rPr>
        <w:t>U</w:t>
      </w:r>
      <w:r w:rsidR="00EF4D57">
        <w:rPr>
          <w:rFonts w:eastAsiaTheme="minorEastAsia"/>
        </w:rPr>
        <w:t xml:space="preserve">pload transactions </w:t>
      </w:r>
      <w:r>
        <w:rPr>
          <w:rFonts w:eastAsiaTheme="minorEastAsia"/>
        </w:rPr>
        <w:t>store</w:t>
      </w:r>
      <w:r w:rsidR="00EF4D57">
        <w:rPr>
          <w:rFonts w:eastAsiaTheme="minorEastAsia"/>
        </w:rPr>
        <w:t xml:space="preserve"> </w:t>
      </w:r>
      <w:r w:rsidR="00CA639A">
        <w:rPr>
          <w:rFonts w:eastAsiaTheme="minorEastAsia"/>
        </w:rPr>
        <w:t xml:space="preserve">NFT prime number (P) </w:t>
      </w:r>
      <w:r w:rsidR="00AF4545">
        <w:rPr>
          <w:rFonts w:eastAsiaTheme="minorEastAsia"/>
        </w:rPr>
        <w:t>elements</w:t>
      </w:r>
      <w:r w:rsidR="00CA639A">
        <w:rPr>
          <w:rFonts w:eastAsiaTheme="minorEastAsia"/>
        </w:rPr>
        <w:t xml:space="preserve"> and </w:t>
      </w:r>
      <w:r w:rsidR="00AF4545">
        <w:rPr>
          <w:rFonts w:eastAsiaTheme="minorEastAsia"/>
        </w:rPr>
        <w:t xml:space="preserve">public or private </w:t>
      </w:r>
      <w:r w:rsidR="00CA639A">
        <w:rPr>
          <w:rFonts w:eastAsiaTheme="minorEastAsia"/>
        </w:rPr>
        <w:t>URI</w:t>
      </w:r>
      <w:r w:rsidR="00AF4545">
        <w:rPr>
          <w:rFonts w:eastAsiaTheme="minorEastAsia"/>
        </w:rPr>
        <w:t xml:space="preserve"> strings</w:t>
      </w:r>
      <w:r>
        <w:rPr>
          <w:rFonts w:eastAsiaTheme="minorEastAsia"/>
        </w:rPr>
        <w:t xml:space="preserve"> on in the Solana ledger</w:t>
      </w:r>
      <w:r w:rsidR="00EF4D57">
        <w:rPr>
          <w:rFonts w:eastAsiaTheme="minorEastAsia"/>
        </w:rPr>
        <w:t>.</w:t>
      </w:r>
    </w:p>
    <w:tbl>
      <w:tblPr>
        <w:tblStyle w:val="TableGrid"/>
        <w:tblW w:w="0" w:type="auto"/>
        <w:tblLook w:val="04A0" w:firstRow="1" w:lastRow="0" w:firstColumn="1" w:lastColumn="0" w:noHBand="0" w:noVBand="1"/>
      </w:tblPr>
      <w:tblGrid>
        <w:gridCol w:w="1348"/>
        <w:gridCol w:w="4141"/>
        <w:gridCol w:w="988"/>
        <w:gridCol w:w="900"/>
        <w:gridCol w:w="991"/>
        <w:gridCol w:w="982"/>
      </w:tblGrid>
      <w:tr w:rsidR="008312EA" w14:paraId="1A5692C1" w14:textId="6B415E47" w:rsidTr="00AF4545">
        <w:tc>
          <w:tcPr>
            <w:tcW w:w="1315" w:type="dxa"/>
          </w:tcPr>
          <w:p w14:paraId="15335118" w14:textId="37D4C389" w:rsidR="00D30DD7" w:rsidRDefault="000D5095" w:rsidP="00FC6229">
            <w:r>
              <w:t>Transactions</w:t>
            </w:r>
          </w:p>
        </w:tc>
        <w:tc>
          <w:tcPr>
            <w:tcW w:w="4170" w:type="dxa"/>
          </w:tcPr>
          <w:p w14:paraId="6CBABCB7" w14:textId="49B0A931" w:rsidR="00D30DD7" w:rsidRDefault="000D5095" w:rsidP="00FC6229">
            <w:r>
              <w:t>V</w:t>
            </w:r>
            <w:r w:rsidR="00AF4545">
              <w:t>alidations</w:t>
            </w:r>
          </w:p>
        </w:tc>
        <w:tc>
          <w:tcPr>
            <w:tcW w:w="990" w:type="dxa"/>
          </w:tcPr>
          <w:p w14:paraId="52E69EC2" w14:textId="66A27539" w:rsidR="00D30DD7" w:rsidRDefault="00D30DD7" w:rsidP="00AF4545">
            <w:pPr>
              <w:jc w:val="center"/>
            </w:pPr>
            <w:r>
              <w:t>TKA</w:t>
            </w:r>
          </w:p>
        </w:tc>
        <w:tc>
          <w:tcPr>
            <w:tcW w:w="900" w:type="dxa"/>
          </w:tcPr>
          <w:p w14:paraId="74655011" w14:textId="42A3F3C4" w:rsidR="00D30DD7" w:rsidRDefault="00D30DD7" w:rsidP="00AF4545">
            <w:pPr>
              <w:jc w:val="center"/>
            </w:pPr>
            <w:r>
              <w:t>TRA</w:t>
            </w:r>
            <w:r w:rsidR="008312EA">
              <w:t>1</w:t>
            </w:r>
          </w:p>
        </w:tc>
        <w:tc>
          <w:tcPr>
            <w:tcW w:w="992" w:type="dxa"/>
          </w:tcPr>
          <w:p w14:paraId="6DBD82FA" w14:textId="26CB7F5F" w:rsidR="00D30DD7" w:rsidRDefault="00D30DD7" w:rsidP="00AF4545">
            <w:pPr>
              <w:jc w:val="center"/>
            </w:pPr>
            <w:r>
              <w:t>TRA</w:t>
            </w:r>
            <w:r w:rsidR="008312EA">
              <w:t>2</w:t>
            </w:r>
          </w:p>
        </w:tc>
        <w:tc>
          <w:tcPr>
            <w:tcW w:w="983" w:type="dxa"/>
          </w:tcPr>
          <w:p w14:paraId="45CABC5C" w14:textId="4B0CA54F" w:rsidR="00D30DD7" w:rsidRDefault="00D30DD7" w:rsidP="00AF4545">
            <w:pPr>
              <w:jc w:val="center"/>
            </w:pPr>
            <w:r>
              <w:t>Ledger</w:t>
            </w:r>
          </w:p>
        </w:tc>
      </w:tr>
      <w:tr w:rsidR="008312EA" w14:paraId="79E43656" w14:textId="0DA8E4ED" w:rsidTr="00AF4545">
        <w:tc>
          <w:tcPr>
            <w:tcW w:w="1315" w:type="dxa"/>
          </w:tcPr>
          <w:p w14:paraId="0648B92E" w14:textId="77777777" w:rsidR="00D30DD7" w:rsidRDefault="00D30DD7" w:rsidP="00FC6229">
            <w:r>
              <w:t>Initialize</w:t>
            </w:r>
          </w:p>
        </w:tc>
        <w:tc>
          <w:tcPr>
            <w:tcW w:w="4170" w:type="dxa"/>
          </w:tcPr>
          <w:p w14:paraId="2EF4BCA1" w14:textId="4E23B02B" w:rsidR="00D30DD7" w:rsidRDefault="00D30DD7" w:rsidP="00FC6229"/>
        </w:tc>
        <w:tc>
          <w:tcPr>
            <w:tcW w:w="990" w:type="dxa"/>
          </w:tcPr>
          <w:p w14:paraId="7DF538B0" w14:textId="37F07EC6" w:rsidR="00D30DD7" w:rsidRDefault="00D30DD7" w:rsidP="00AF4545">
            <w:pPr>
              <w:jc w:val="center"/>
            </w:pPr>
            <w:r>
              <w:t>{</w:t>
            </w:r>
            <w:r w:rsidR="00AF4545">
              <w:t>u</w:t>
            </w:r>
            <w:r>
              <w:t>}</w:t>
            </w:r>
          </w:p>
        </w:tc>
        <w:tc>
          <w:tcPr>
            <w:tcW w:w="900" w:type="dxa"/>
          </w:tcPr>
          <w:p w14:paraId="438CADBA" w14:textId="4150D77A" w:rsidR="00D30DD7" w:rsidRDefault="00D30DD7" w:rsidP="00AF4545">
            <w:pPr>
              <w:jc w:val="center"/>
            </w:pPr>
            <w:r>
              <w:t>{</w:t>
            </w:r>
            <w:r w:rsidR="00AF4545">
              <w:t>u</w:t>
            </w:r>
            <w:r>
              <w:t>}</w:t>
            </w:r>
          </w:p>
        </w:tc>
        <w:tc>
          <w:tcPr>
            <w:tcW w:w="992" w:type="dxa"/>
          </w:tcPr>
          <w:p w14:paraId="06F180BB" w14:textId="724F1A56" w:rsidR="00D30DD7" w:rsidRDefault="00D30DD7" w:rsidP="00AF4545">
            <w:pPr>
              <w:jc w:val="center"/>
            </w:pPr>
            <w:r>
              <w:t>{</w:t>
            </w:r>
            <w:r w:rsidR="00AF4545">
              <w:t>u</w:t>
            </w:r>
            <w:r>
              <w:t>}</w:t>
            </w:r>
          </w:p>
        </w:tc>
        <w:tc>
          <w:tcPr>
            <w:tcW w:w="983" w:type="dxa"/>
          </w:tcPr>
          <w:p w14:paraId="236300DC" w14:textId="77777777" w:rsidR="00D30DD7" w:rsidRDefault="00D30DD7" w:rsidP="00AF4545">
            <w:pPr>
              <w:jc w:val="center"/>
            </w:pPr>
          </w:p>
        </w:tc>
      </w:tr>
      <w:tr w:rsidR="008312EA" w14:paraId="67B869E7" w14:textId="2824CA92" w:rsidTr="00AF4545">
        <w:tc>
          <w:tcPr>
            <w:tcW w:w="1315" w:type="dxa"/>
          </w:tcPr>
          <w:p w14:paraId="4305681E" w14:textId="77777777" w:rsidR="00D30DD7" w:rsidRDefault="00D30DD7" w:rsidP="00FC6229">
            <w:r>
              <w:t>Mint</w:t>
            </w:r>
          </w:p>
        </w:tc>
        <w:tc>
          <w:tcPr>
            <w:tcW w:w="4170" w:type="dxa"/>
          </w:tcPr>
          <w:p w14:paraId="04EBCBC0" w14:textId="770BCF32" w:rsidR="00D30DD7" w:rsidRDefault="00EF4D57" w:rsidP="00865B1E">
            <w:r>
              <w:t>TKA: Verif</w:t>
            </w:r>
            <w:r w:rsidR="008312EA">
              <w:t>y non-membership proof</w:t>
            </w:r>
            <w:r>
              <w:t>(E</w:t>
            </w:r>
            <w:r w:rsidR="00D30DD7">
              <w:t>)</w:t>
            </w:r>
          </w:p>
          <w:p w14:paraId="76558C35" w14:textId="3A67C7A5" w:rsidR="00D30DD7" w:rsidRDefault="00EF4D57" w:rsidP="00865B1E">
            <w:r>
              <w:t xml:space="preserve">TKA: </w:t>
            </w:r>
            <w:r w:rsidR="008312EA">
              <w:t>Verify membership proof</w:t>
            </w:r>
            <w:r w:rsidR="00D30DD7">
              <w:t>(E)</w:t>
            </w:r>
          </w:p>
          <w:p w14:paraId="0EE45830" w14:textId="3E6D0EE1" w:rsidR="00D30DD7" w:rsidRDefault="008312EA" w:rsidP="00865B1E">
            <w:r>
              <w:t>T</w:t>
            </w:r>
            <w:r>
              <w:t>RA1</w:t>
            </w:r>
            <w:r>
              <w:t>: Verify membership proof(E)</w:t>
            </w:r>
          </w:p>
        </w:tc>
        <w:tc>
          <w:tcPr>
            <w:tcW w:w="990" w:type="dxa"/>
          </w:tcPr>
          <w:p w14:paraId="6917D040" w14:textId="530F9B94" w:rsidR="00D30DD7" w:rsidRDefault="00D30DD7" w:rsidP="00AF4545">
            <w:pPr>
              <w:jc w:val="center"/>
            </w:pPr>
            <w:r>
              <w:t>{</w:t>
            </w:r>
            <w:r w:rsidR="00AF4545">
              <w:t>u</w:t>
            </w:r>
            <w:r w:rsidR="00EF4D57">
              <w:t>^</w:t>
            </w:r>
            <w:r>
              <w:t>E}</w:t>
            </w:r>
          </w:p>
        </w:tc>
        <w:tc>
          <w:tcPr>
            <w:tcW w:w="900" w:type="dxa"/>
          </w:tcPr>
          <w:p w14:paraId="519D0489" w14:textId="0B946A1D" w:rsidR="00D30DD7" w:rsidRDefault="00D30DD7" w:rsidP="00AF4545">
            <w:pPr>
              <w:jc w:val="center"/>
            </w:pPr>
            <w:r>
              <w:t>{</w:t>
            </w:r>
            <w:r w:rsidR="00AF4545">
              <w:t>u</w:t>
            </w:r>
            <w:r w:rsidR="00EF4D57">
              <w:t>^E</w:t>
            </w:r>
            <w:r>
              <w:t>}</w:t>
            </w:r>
          </w:p>
        </w:tc>
        <w:tc>
          <w:tcPr>
            <w:tcW w:w="992" w:type="dxa"/>
          </w:tcPr>
          <w:p w14:paraId="0FC3DB15" w14:textId="77777777" w:rsidR="00D30DD7" w:rsidRDefault="00D30DD7" w:rsidP="00AF4545">
            <w:pPr>
              <w:jc w:val="center"/>
            </w:pPr>
          </w:p>
        </w:tc>
        <w:tc>
          <w:tcPr>
            <w:tcW w:w="983" w:type="dxa"/>
          </w:tcPr>
          <w:p w14:paraId="267C03EE" w14:textId="77777777" w:rsidR="00D30DD7" w:rsidRDefault="00D30DD7" w:rsidP="00AF4545">
            <w:pPr>
              <w:jc w:val="center"/>
            </w:pPr>
          </w:p>
        </w:tc>
      </w:tr>
      <w:tr w:rsidR="008312EA" w14:paraId="7FF3908D" w14:textId="7EAF8079" w:rsidTr="00AF4545">
        <w:tc>
          <w:tcPr>
            <w:tcW w:w="1315" w:type="dxa"/>
          </w:tcPr>
          <w:p w14:paraId="28C3A261" w14:textId="77777777" w:rsidR="00D30DD7" w:rsidRDefault="00D30DD7" w:rsidP="00FC6229">
            <w:r>
              <w:t>Transfer</w:t>
            </w:r>
          </w:p>
        </w:tc>
        <w:tc>
          <w:tcPr>
            <w:tcW w:w="4170" w:type="dxa"/>
          </w:tcPr>
          <w:p w14:paraId="5E11E8C7" w14:textId="7CE56959" w:rsidR="00AF4545" w:rsidRDefault="00AF4545" w:rsidP="00AF4545">
            <w:r>
              <w:t>T</w:t>
            </w:r>
            <w:r>
              <w:t>R</w:t>
            </w:r>
            <w:r>
              <w:t>A</w:t>
            </w:r>
            <w:r>
              <w:t>1</w:t>
            </w:r>
            <w:r>
              <w:t>: Verify non-membership proof(E)</w:t>
            </w:r>
          </w:p>
          <w:p w14:paraId="37B85A99" w14:textId="7774299B" w:rsidR="00D30DD7" w:rsidRDefault="00AF4545" w:rsidP="00865B1E">
            <w:r>
              <w:t>TRA</w:t>
            </w:r>
            <w:r>
              <w:t>2</w:t>
            </w:r>
            <w:r>
              <w:t>: Verify membership proof(E)</w:t>
            </w:r>
          </w:p>
        </w:tc>
        <w:tc>
          <w:tcPr>
            <w:tcW w:w="990" w:type="dxa"/>
          </w:tcPr>
          <w:p w14:paraId="36786FC2" w14:textId="6A592C15" w:rsidR="00D30DD7" w:rsidRPr="00137184" w:rsidRDefault="00D30DD7" w:rsidP="00AF4545">
            <w:pPr>
              <w:jc w:val="center"/>
              <w:rPr>
                <w:strike/>
              </w:rPr>
            </w:pPr>
          </w:p>
        </w:tc>
        <w:tc>
          <w:tcPr>
            <w:tcW w:w="900" w:type="dxa"/>
          </w:tcPr>
          <w:p w14:paraId="45642697" w14:textId="293F5431" w:rsidR="00D30DD7" w:rsidRDefault="00D30DD7" w:rsidP="00AF4545">
            <w:pPr>
              <w:jc w:val="center"/>
            </w:pPr>
            <w:r>
              <w:t>{</w:t>
            </w:r>
            <w:r w:rsidR="00AF4545">
              <w:t>u</w:t>
            </w:r>
            <w:r w:rsidR="00EF4D57">
              <w:t>^</w:t>
            </w:r>
            <w:r w:rsidR="00EF4D57">
              <w:t>1/</w:t>
            </w:r>
            <w:r w:rsidR="00EF4D57">
              <w:t>E</w:t>
            </w:r>
            <w:r>
              <w:t>}</w:t>
            </w:r>
          </w:p>
        </w:tc>
        <w:tc>
          <w:tcPr>
            <w:tcW w:w="992" w:type="dxa"/>
          </w:tcPr>
          <w:p w14:paraId="2E2942C7" w14:textId="66721AC3" w:rsidR="00D30DD7" w:rsidRDefault="00D30DD7" w:rsidP="00AF4545">
            <w:pPr>
              <w:jc w:val="center"/>
            </w:pPr>
            <w:r>
              <w:t>{</w:t>
            </w:r>
            <w:r w:rsidR="00AF4545">
              <w:t>u</w:t>
            </w:r>
            <w:r w:rsidR="00EF4D57">
              <w:t>^E</w:t>
            </w:r>
            <w:r>
              <w:t>}</w:t>
            </w:r>
          </w:p>
        </w:tc>
        <w:tc>
          <w:tcPr>
            <w:tcW w:w="983" w:type="dxa"/>
          </w:tcPr>
          <w:p w14:paraId="2DE098F2" w14:textId="77777777" w:rsidR="00D30DD7" w:rsidRDefault="00D30DD7" w:rsidP="00AF4545">
            <w:pPr>
              <w:jc w:val="center"/>
            </w:pPr>
          </w:p>
        </w:tc>
      </w:tr>
      <w:tr w:rsidR="008312EA" w14:paraId="19A1B20C" w14:textId="1C58407A" w:rsidTr="00AF4545">
        <w:tc>
          <w:tcPr>
            <w:tcW w:w="1315" w:type="dxa"/>
          </w:tcPr>
          <w:p w14:paraId="3DFD5D45" w14:textId="23373E18" w:rsidR="00D30DD7" w:rsidRDefault="00D30DD7" w:rsidP="00FC6229">
            <w:r>
              <w:t>Burn</w:t>
            </w:r>
          </w:p>
        </w:tc>
        <w:tc>
          <w:tcPr>
            <w:tcW w:w="4170" w:type="dxa"/>
          </w:tcPr>
          <w:p w14:paraId="3CCA49EF" w14:textId="70F6A8E6" w:rsidR="00AF4545" w:rsidRDefault="00AF4545" w:rsidP="00AF4545">
            <w:r>
              <w:t>T</w:t>
            </w:r>
            <w:r>
              <w:t>KA</w:t>
            </w:r>
            <w:r>
              <w:t>: Verify non-membership proof(E)</w:t>
            </w:r>
          </w:p>
          <w:p w14:paraId="7FEB8F9B" w14:textId="27011279" w:rsidR="00D30DD7" w:rsidRDefault="00AF4545" w:rsidP="008D0065">
            <w:r>
              <w:t>TRA</w:t>
            </w:r>
            <w:r>
              <w:t>2</w:t>
            </w:r>
            <w:r>
              <w:t>: Verify non-membership proof(E)</w:t>
            </w:r>
          </w:p>
        </w:tc>
        <w:tc>
          <w:tcPr>
            <w:tcW w:w="990" w:type="dxa"/>
          </w:tcPr>
          <w:p w14:paraId="0AF127F8" w14:textId="7E0B3ED7" w:rsidR="00D30DD7" w:rsidRDefault="00D30DD7" w:rsidP="00AF4545">
            <w:pPr>
              <w:jc w:val="center"/>
            </w:pPr>
            <w:r>
              <w:t>{</w:t>
            </w:r>
            <w:r w:rsidR="00EF4D57">
              <w:t xml:space="preserve"> </w:t>
            </w:r>
            <w:r w:rsidR="00AF4545">
              <w:t>u</w:t>
            </w:r>
            <w:r w:rsidR="00EF4D57">
              <w:t>^1/E</w:t>
            </w:r>
            <w:r>
              <w:t>}</w:t>
            </w:r>
          </w:p>
        </w:tc>
        <w:tc>
          <w:tcPr>
            <w:tcW w:w="900" w:type="dxa"/>
          </w:tcPr>
          <w:p w14:paraId="609715E8" w14:textId="7C58B8F5" w:rsidR="00D30DD7" w:rsidRDefault="00D30DD7" w:rsidP="00AF4545">
            <w:pPr>
              <w:jc w:val="center"/>
            </w:pPr>
          </w:p>
        </w:tc>
        <w:tc>
          <w:tcPr>
            <w:tcW w:w="992" w:type="dxa"/>
          </w:tcPr>
          <w:p w14:paraId="1F3043B1" w14:textId="4279A74C" w:rsidR="00D30DD7" w:rsidRDefault="00D30DD7" w:rsidP="00AF4545">
            <w:pPr>
              <w:jc w:val="center"/>
            </w:pPr>
            <w:r>
              <w:t>{</w:t>
            </w:r>
            <w:r w:rsidR="00AF4545">
              <w:t>u</w:t>
            </w:r>
            <w:r w:rsidR="00EF4D57">
              <w:t>^1/E</w:t>
            </w:r>
            <w:r>
              <w:t>}</w:t>
            </w:r>
          </w:p>
        </w:tc>
        <w:tc>
          <w:tcPr>
            <w:tcW w:w="983" w:type="dxa"/>
          </w:tcPr>
          <w:p w14:paraId="00AE4385" w14:textId="77777777" w:rsidR="00D30DD7" w:rsidRDefault="00D30DD7" w:rsidP="00AF4545">
            <w:pPr>
              <w:jc w:val="center"/>
            </w:pPr>
          </w:p>
        </w:tc>
      </w:tr>
      <w:tr w:rsidR="008312EA" w14:paraId="546458FB" w14:textId="3860E576" w:rsidTr="00AF4545">
        <w:tc>
          <w:tcPr>
            <w:tcW w:w="1315" w:type="dxa"/>
          </w:tcPr>
          <w:p w14:paraId="7FA4571B" w14:textId="352948C3" w:rsidR="00D30DD7" w:rsidRDefault="00D30DD7" w:rsidP="00FC6229">
            <w:r>
              <w:t>Upload</w:t>
            </w:r>
          </w:p>
        </w:tc>
        <w:tc>
          <w:tcPr>
            <w:tcW w:w="4170" w:type="dxa"/>
          </w:tcPr>
          <w:p w14:paraId="5EAE92A1" w14:textId="77777777" w:rsidR="00D30DD7" w:rsidRDefault="00D30DD7" w:rsidP="008D0065"/>
        </w:tc>
        <w:tc>
          <w:tcPr>
            <w:tcW w:w="990" w:type="dxa"/>
          </w:tcPr>
          <w:p w14:paraId="6A3C1303" w14:textId="77777777" w:rsidR="00D30DD7" w:rsidRDefault="00D30DD7" w:rsidP="00AF4545">
            <w:pPr>
              <w:jc w:val="center"/>
            </w:pPr>
          </w:p>
        </w:tc>
        <w:tc>
          <w:tcPr>
            <w:tcW w:w="900" w:type="dxa"/>
          </w:tcPr>
          <w:p w14:paraId="1DB242D8" w14:textId="77777777" w:rsidR="00D30DD7" w:rsidRDefault="00D30DD7" w:rsidP="00AF4545">
            <w:pPr>
              <w:jc w:val="center"/>
            </w:pPr>
          </w:p>
        </w:tc>
        <w:tc>
          <w:tcPr>
            <w:tcW w:w="992" w:type="dxa"/>
          </w:tcPr>
          <w:p w14:paraId="5ABB0965" w14:textId="77777777" w:rsidR="00D30DD7" w:rsidRDefault="00D30DD7" w:rsidP="00AF4545">
            <w:pPr>
              <w:jc w:val="center"/>
            </w:pPr>
          </w:p>
        </w:tc>
        <w:tc>
          <w:tcPr>
            <w:tcW w:w="983" w:type="dxa"/>
          </w:tcPr>
          <w:p w14:paraId="784FB6C8" w14:textId="13CFC030" w:rsidR="00D30DD7" w:rsidRDefault="00D30DD7" w:rsidP="00AF4545">
            <w:pPr>
              <w:jc w:val="center"/>
            </w:pPr>
            <w:r>
              <w:t>[P,URI]</w:t>
            </w:r>
          </w:p>
        </w:tc>
      </w:tr>
    </w:tbl>
    <w:p w14:paraId="00E602C5" w14:textId="70FB9423" w:rsidR="000D5095" w:rsidRDefault="000D5095" w:rsidP="00E761A6"/>
    <w:p w14:paraId="7E6F01B7" w14:textId="332BF035" w:rsidR="000D5095" w:rsidRDefault="00845F45" w:rsidP="00E761A6">
      <w:r>
        <w:t>Clients use their wallet accounts to initialize tracking accounts, and to fund their tracking accounts so that they can pay for program transactions. The NFT/RSA program credits tracking accounts and debits the program account as payment for transaction execution.</w:t>
      </w:r>
    </w:p>
    <w:p w14:paraId="2A1A9A9C" w14:textId="5911AB52" w:rsidR="00E761A6" w:rsidRDefault="00E761A6" w:rsidP="00845F45">
      <w:pPr>
        <w:pStyle w:val="Heading1"/>
      </w:pPr>
      <w:r>
        <w:t xml:space="preserve">Solana </w:t>
      </w:r>
      <w:r w:rsidR="00A266D4">
        <w:t xml:space="preserve">Design </w:t>
      </w:r>
      <w:r>
        <w:t>Proposals</w:t>
      </w:r>
    </w:p>
    <w:p w14:paraId="2C1E7911" w14:textId="17F02E92" w:rsidR="00845F45" w:rsidRDefault="00676E39" w:rsidP="00845F45">
      <w:r>
        <w:t xml:space="preserve">A prototype of the NFT/RSA program has been developed to test the feasibility or executing NI-POKE2 membership and non-membership proofs on the Solana blockchain. </w:t>
      </w:r>
      <w:r w:rsidR="00845F45">
        <w:t xml:space="preserve">The NFT/RSA program exceeds the transaction compute unit limit (200 000) with the current </w:t>
      </w:r>
      <w:r>
        <w:t xml:space="preserve">Solana </w:t>
      </w:r>
      <w:r w:rsidR="00845F45">
        <w:t xml:space="preserve">program costing model due to the </w:t>
      </w:r>
      <w:r>
        <w:t xml:space="preserve">high cost of </w:t>
      </w:r>
      <w:r w:rsidR="00845F45">
        <w:t>big number</w:t>
      </w:r>
      <w:r w:rsidR="00A266D4">
        <w:t xml:space="preserve"> operations</w:t>
      </w:r>
      <w:r w:rsidR="00845F45">
        <w:t xml:space="preserve"> and hashing operations required to implement the RSA set membership and non-membership proofs.</w:t>
      </w:r>
      <w:r w:rsidR="00A266D4">
        <w:t xml:space="preserve"> The Solana team would need to accept the following design proposals to make it possible to run the NFT/RSA program on the Solana blockchain.</w:t>
      </w:r>
    </w:p>
    <w:p w14:paraId="0FADFCC8" w14:textId="553360D0" w:rsidR="00A266D4" w:rsidRDefault="00A266D4" w:rsidP="00A266D4">
      <w:pPr>
        <w:pStyle w:val="ListParagraph"/>
        <w:numPr>
          <w:ilvl w:val="0"/>
          <w:numId w:val="14"/>
        </w:numPr>
      </w:pPr>
      <w:r>
        <w:t>Big number</w:t>
      </w:r>
      <w:r w:rsidR="0055130A">
        <w:t xml:space="preserve"> </w:t>
      </w:r>
      <w:r w:rsidR="00E34B86">
        <w:t>design</w:t>
      </w:r>
      <w:r w:rsidR="0055130A">
        <w:t xml:space="preserve"> proposal</w:t>
      </w:r>
      <w:r>
        <w:t>.</w:t>
      </w:r>
    </w:p>
    <w:p w14:paraId="2862CD40" w14:textId="37A5F06F" w:rsidR="00A266D4" w:rsidRDefault="00A266D4" w:rsidP="00A266D4">
      <w:pPr>
        <w:pStyle w:val="ListParagraph"/>
        <w:numPr>
          <w:ilvl w:val="0"/>
          <w:numId w:val="14"/>
        </w:numPr>
      </w:pPr>
      <w:r>
        <w:t>RSA hash</w:t>
      </w:r>
      <w:r w:rsidR="0055130A">
        <w:t xml:space="preserve"> </w:t>
      </w:r>
      <w:r w:rsidR="00E34B86">
        <w:t>design</w:t>
      </w:r>
      <w:r>
        <w:t xml:space="preserve"> </w:t>
      </w:r>
      <w:r w:rsidR="0055130A">
        <w:t>proposal</w:t>
      </w:r>
      <w:r>
        <w:t>.</w:t>
      </w:r>
    </w:p>
    <w:p w14:paraId="3C6C0B88" w14:textId="18C197E6" w:rsidR="00A266D4" w:rsidRDefault="00A266D4" w:rsidP="00A266D4">
      <w:pPr>
        <w:pStyle w:val="Heading2"/>
      </w:pPr>
      <w:r>
        <w:t xml:space="preserve">Big Number </w:t>
      </w:r>
      <w:r w:rsidR="00E34B86">
        <w:t>Design</w:t>
      </w:r>
      <w:r w:rsidR="0055130A">
        <w:t xml:space="preserve"> Proposal</w:t>
      </w:r>
    </w:p>
    <w:p w14:paraId="34FD5BD8" w14:textId="424B02B8" w:rsidR="00A266D4" w:rsidRPr="00845F45" w:rsidRDefault="0055130A" w:rsidP="00A266D4">
      <w:r>
        <w:t xml:space="preserve">The proposal is to add big number system calls to Solana validators so that programs can perform big number operations. The proposal is to use the big number library from the </w:t>
      </w:r>
      <w:hyperlink r:id="rId7" w:history="1">
        <w:r w:rsidRPr="0055130A">
          <w:rPr>
            <w:rStyle w:val="Hyperlink"/>
          </w:rPr>
          <w:t xml:space="preserve">rust openssl </w:t>
        </w:r>
        <w:r>
          <w:rPr>
            <w:rStyle w:val="Hyperlink"/>
          </w:rPr>
          <w:t>crate</w:t>
        </w:r>
      </w:hyperlink>
      <w:r>
        <w:t xml:space="preserve"> and a costing model similar to that implemented in the EIP-101 and the EIP-2565 precompiles.</w:t>
      </w:r>
    </w:p>
    <w:p w14:paraId="23395CED" w14:textId="3BEF20F4" w:rsidR="0055130A" w:rsidRDefault="0055130A" w:rsidP="0055130A">
      <w:pPr>
        <w:pStyle w:val="Heading2"/>
      </w:pPr>
      <w:r>
        <w:t xml:space="preserve">RSA Hash </w:t>
      </w:r>
      <w:r w:rsidR="00E34B86">
        <w:t>Design</w:t>
      </w:r>
      <w:r>
        <w:t xml:space="preserve"> Proposal</w:t>
      </w:r>
    </w:p>
    <w:p w14:paraId="5FD009E1" w14:textId="4AE691C7" w:rsidR="00E34B86" w:rsidRDefault="00E34B86" w:rsidP="00E34B86">
      <w:r>
        <w:t>RSA set membership and set non-membership proofs are implemented using the NI-POKE2 protocol. There are three hash operations in the protocol. The proposal is to add these hash operations as system calls so that programs that use RSA accumulators can execute on the Solana blockchain.</w:t>
      </w:r>
    </w:p>
    <w:p w14:paraId="1B371711" w14:textId="2EF0B791" w:rsidR="00E34B86" w:rsidRDefault="00E34B86" w:rsidP="00E34B86">
      <w:pPr>
        <w:pStyle w:val="ListParagraph"/>
        <w:numPr>
          <w:ilvl w:val="0"/>
          <w:numId w:val="15"/>
        </w:numPr>
      </w:pPr>
      <w:r w:rsidRPr="00676E39">
        <w:rPr>
          <w:i/>
          <w:iCs/>
        </w:rPr>
        <w:lastRenderedPageBreak/>
        <w:t>Hash to generator</w:t>
      </w:r>
      <w:r>
        <w:t>.</w:t>
      </w:r>
      <w:r w:rsidR="00676E39">
        <w:t xml:space="preserve"> The hash to generator operation implemented in </w:t>
      </w:r>
      <w:hyperlink r:id="rId8" w:history="1">
        <w:r w:rsidR="00676E39" w:rsidRPr="00676E39">
          <w:rPr>
            <w:rStyle w:val="Hyperlink"/>
          </w:rPr>
          <w:t>accumulator-rs</w:t>
        </w:r>
      </w:hyperlink>
      <w:r w:rsidR="00676E39">
        <w:t xml:space="preserve"> derives a HMAC key from a Blake3 digest of a proof transcript.</w:t>
      </w:r>
    </w:p>
    <w:p w14:paraId="1D6ED135" w14:textId="48917F11" w:rsidR="00E34B86" w:rsidRDefault="00E34B86" w:rsidP="00E34B86">
      <w:pPr>
        <w:pStyle w:val="ListParagraph"/>
        <w:numPr>
          <w:ilvl w:val="0"/>
          <w:numId w:val="15"/>
        </w:numPr>
      </w:pPr>
      <w:r w:rsidRPr="00676E39">
        <w:rPr>
          <w:i/>
          <w:iCs/>
        </w:rPr>
        <w:t>Hash to prime</w:t>
      </w:r>
      <w:r>
        <w:t>.</w:t>
      </w:r>
      <w:r w:rsidR="00F50D9B">
        <w:t xml:space="preserve"> The hash to prime operation is a loop that generates a blake3 hash of an incrementing proof transcript until the digest is a prime number. The prime number test uses the Miller-Rabin algorithm from the openssl library. This is the most expensive hash in the NI-POKE2 proof and the loop count is non-deterministic.</w:t>
      </w:r>
    </w:p>
    <w:p w14:paraId="4764F1B4" w14:textId="570B321F" w:rsidR="00E34B86" w:rsidRDefault="00E34B86" w:rsidP="00E34B86">
      <w:pPr>
        <w:pStyle w:val="ListParagraph"/>
        <w:numPr>
          <w:ilvl w:val="0"/>
          <w:numId w:val="15"/>
        </w:numPr>
      </w:pPr>
      <w:r w:rsidRPr="00676E39">
        <w:rPr>
          <w:i/>
          <w:iCs/>
        </w:rPr>
        <w:t xml:space="preserve">Hash to </w:t>
      </w:r>
      <w:r w:rsidR="00F50D9B" w:rsidRPr="00676E39">
        <w:rPr>
          <w:i/>
          <w:iCs/>
        </w:rPr>
        <w:t>digest</w:t>
      </w:r>
      <w:r>
        <w:t>.</w:t>
      </w:r>
      <w:r w:rsidR="00676E39">
        <w:t xml:space="preserve"> Solana has a system call for generating a SHA265 64 byte digest of a proof transcript but the NI-POKE2 algorithm only requires a Blake3 32 byte digest of a proof transcript.</w:t>
      </w:r>
    </w:p>
    <w:sectPr w:rsidR="00E34B8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BB7A" w14:textId="77777777" w:rsidR="009918A3" w:rsidRDefault="009918A3" w:rsidP="006E7780">
      <w:pPr>
        <w:spacing w:after="0" w:line="240" w:lineRule="auto"/>
      </w:pPr>
      <w:r>
        <w:separator/>
      </w:r>
    </w:p>
  </w:endnote>
  <w:endnote w:type="continuationSeparator" w:id="0">
    <w:p w14:paraId="5E4EA627" w14:textId="77777777" w:rsidR="009918A3" w:rsidRDefault="009918A3" w:rsidP="006E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996813"/>
      <w:docPartObj>
        <w:docPartGallery w:val="Page Numbers (Bottom of Page)"/>
        <w:docPartUnique/>
      </w:docPartObj>
    </w:sdtPr>
    <w:sdtEndPr>
      <w:rPr>
        <w:noProof/>
      </w:rPr>
    </w:sdtEndPr>
    <w:sdtContent>
      <w:p w14:paraId="71FCE5E3" w14:textId="0459FF8C" w:rsidR="006E7780" w:rsidRDefault="006E7780">
        <w:pPr>
          <w:pStyle w:val="Footer"/>
        </w:pPr>
        <w:r>
          <w:fldChar w:fldCharType="begin"/>
        </w:r>
        <w:r>
          <w:instrText xml:space="preserve"> PAGE   \* MERGEFORMAT </w:instrText>
        </w:r>
        <w:r>
          <w:fldChar w:fldCharType="separate"/>
        </w:r>
        <w:r>
          <w:rPr>
            <w:noProof/>
          </w:rPr>
          <w:t>2</w:t>
        </w:r>
        <w:r>
          <w:rPr>
            <w:noProof/>
          </w:rPr>
          <w:fldChar w:fldCharType="end"/>
        </w:r>
      </w:p>
    </w:sdtContent>
  </w:sdt>
  <w:p w14:paraId="43B69AB9" w14:textId="77777777" w:rsidR="006E7780" w:rsidRDefault="006E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5AC1" w14:textId="77777777" w:rsidR="009918A3" w:rsidRDefault="009918A3" w:rsidP="006E7780">
      <w:pPr>
        <w:spacing w:after="0" w:line="240" w:lineRule="auto"/>
      </w:pPr>
      <w:r>
        <w:separator/>
      </w:r>
    </w:p>
  </w:footnote>
  <w:footnote w:type="continuationSeparator" w:id="0">
    <w:p w14:paraId="20F39824" w14:textId="77777777" w:rsidR="009918A3" w:rsidRDefault="009918A3" w:rsidP="006E7780">
      <w:pPr>
        <w:spacing w:after="0" w:line="240" w:lineRule="auto"/>
      </w:pPr>
      <w:r>
        <w:continuationSeparator/>
      </w:r>
    </w:p>
  </w:footnote>
  <w:footnote w:id="1">
    <w:p w14:paraId="12B50B17" w14:textId="2C7BF373" w:rsidR="00DA774A" w:rsidRDefault="00DA774A">
      <w:pPr>
        <w:pStyle w:val="FootnoteText"/>
      </w:pPr>
      <w:r>
        <w:rPr>
          <w:rStyle w:val="FootnoteReference"/>
        </w:rPr>
        <w:footnoteRef/>
      </w:r>
      <w:r>
        <w:t xml:space="preserve"> Non-fungible token.</w:t>
      </w:r>
    </w:p>
  </w:footnote>
  <w:footnote w:id="2">
    <w:p w14:paraId="08E5234D" w14:textId="06F257ED" w:rsidR="00ED1BFF" w:rsidRDefault="00ED1BFF">
      <w:pPr>
        <w:pStyle w:val="FootnoteText"/>
      </w:pPr>
      <w:r>
        <w:rPr>
          <w:rStyle w:val="FootnoteReference"/>
        </w:rPr>
        <w:footnoteRef/>
      </w:r>
      <w:r>
        <w:t xml:space="preserve"> </w:t>
      </w:r>
      <w:hyperlink r:id="rId1" w:history="1">
        <w:r>
          <w:rPr>
            <w:rStyle w:val="Hyperlink"/>
          </w:rPr>
          <w:t>A Deep Dive on RSA Accumulators (gakonst.com)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E4A"/>
    <w:multiLevelType w:val="hybridMultilevel"/>
    <w:tmpl w:val="CF1A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41657"/>
    <w:multiLevelType w:val="hybridMultilevel"/>
    <w:tmpl w:val="9A6E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95A39"/>
    <w:multiLevelType w:val="hybridMultilevel"/>
    <w:tmpl w:val="031E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83EBA"/>
    <w:multiLevelType w:val="hybridMultilevel"/>
    <w:tmpl w:val="6A1A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6152E"/>
    <w:multiLevelType w:val="hybridMultilevel"/>
    <w:tmpl w:val="740E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C6D90"/>
    <w:multiLevelType w:val="hybridMultilevel"/>
    <w:tmpl w:val="1992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47D2"/>
    <w:multiLevelType w:val="hybridMultilevel"/>
    <w:tmpl w:val="1A24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D533A"/>
    <w:multiLevelType w:val="hybridMultilevel"/>
    <w:tmpl w:val="29A8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C698C"/>
    <w:multiLevelType w:val="hybridMultilevel"/>
    <w:tmpl w:val="CD80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7B6A35"/>
    <w:multiLevelType w:val="hybridMultilevel"/>
    <w:tmpl w:val="805E3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480EE5"/>
    <w:multiLevelType w:val="hybridMultilevel"/>
    <w:tmpl w:val="748ED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A834B0"/>
    <w:multiLevelType w:val="hybridMultilevel"/>
    <w:tmpl w:val="171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B1FA2"/>
    <w:multiLevelType w:val="hybridMultilevel"/>
    <w:tmpl w:val="67BE3CD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3" w15:restartNumberingAfterBreak="0">
    <w:nsid w:val="60E4565F"/>
    <w:multiLevelType w:val="hybridMultilevel"/>
    <w:tmpl w:val="74542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E3B7E"/>
    <w:multiLevelType w:val="hybridMultilevel"/>
    <w:tmpl w:val="19AC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2"/>
  </w:num>
  <w:num w:numId="5">
    <w:abstractNumId w:val="0"/>
  </w:num>
  <w:num w:numId="6">
    <w:abstractNumId w:val="13"/>
  </w:num>
  <w:num w:numId="7">
    <w:abstractNumId w:val="1"/>
  </w:num>
  <w:num w:numId="8">
    <w:abstractNumId w:val="6"/>
  </w:num>
  <w:num w:numId="9">
    <w:abstractNumId w:val="9"/>
  </w:num>
  <w:num w:numId="10">
    <w:abstractNumId w:val="7"/>
  </w:num>
  <w:num w:numId="11">
    <w:abstractNumId w:val="5"/>
  </w:num>
  <w:num w:numId="12">
    <w:abstractNumId w:val="3"/>
  </w:num>
  <w:num w:numId="13">
    <w:abstractNumId w:val="12"/>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77"/>
    <w:rsid w:val="00007449"/>
    <w:rsid w:val="000129FF"/>
    <w:rsid w:val="00013488"/>
    <w:rsid w:val="0001675C"/>
    <w:rsid w:val="00034AF2"/>
    <w:rsid w:val="000801E7"/>
    <w:rsid w:val="000D5095"/>
    <w:rsid w:val="000E372E"/>
    <w:rsid w:val="00113A77"/>
    <w:rsid w:val="0012495E"/>
    <w:rsid w:val="00137184"/>
    <w:rsid w:val="00144E5B"/>
    <w:rsid w:val="00165344"/>
    <w:rsid w:val="0017591F"/>
    <w:rsid w:val="00232E47"/>
    <w:rsid w:val="00252A88"/>
    <w:rsid w:val="002B56D5"/>
    <w:rsid w:val="0031472A"/>
    <w:rsid w:val="00323347"/>
    <w:rsid w:val="0032388F"/>
    <w:rsid w:val="003B15F2"/>
    <w:rsid w:val="003C2A86"/>
    <w:rsid w:val="00416A19"/>
    <w:rsid w:val="004678E8"/>
    <w:rsid w:val="004C1312"/>
    <w:rsid w:val="004D2E30"/>
    <w:rsid w:val="0055130A"/>
    <w:rsid w:val="00564C05"/>
    <w:rsid w:val="005727D3"/>
    <w:rsid w:val="005C2AB2"/>
    <w:rsid w:val="005F4FF4"/>
    <w:rsid w:val="00676E39"/>
    <w:rsid w:val="006B0D8A"/>
    <w:rsid w:val="006E4BB3"/>
    <w:rsid w:val="006E7780"/>
    <w:rsid w:val="007612B8"/>
    <w:rsid w:val="007E138E"/>
    <w:rsid w:val="007E59D1"/>
    <w:rsid w:val="00823E78"/>
    <w:rsid w:val="0082687C"/>
    <w:rsid w:val="008312EA"/>
    <w:rsid w:val="00845F45"/>
    <w:rsid w:val="00865B1E"/>
    <w:rsid w:val="008C6513"/>
    <w:rsid w:val="008D0065"/>
    <w:rsid w:val="00950C81"/>
    <w:rsid w:val="00964A7E"/>
    <w:rsid w:val="00972101"/>
    <w:rsid w:val="009918A3"/>
    <w:rsid w:val="00A266D4"/>
    <w:rsid w:val="00A64979"/>
    <w:rsid w:val="00A64CD1"/>
    <w:rsid w:val="00AE6205"/>
    <w:rsid w:val="00AF4545"/>
    <w:rsid w:val="00B87249"/>
    <w:rsid w:val="00BD2D91"/>
    <w:rsid w:val="00C06CF2"/>
    <w:rsid w:val="00C54D80"/>
    <w:rsid w:val="00C77DB0"/>
    <w:rsid w:val="00C90272"/>
    <w:rsid w:val="00C90641"/>
    <w:rsid w:val="00CA639A"/>
    <w:rsid w:val="00CD22A0"/>
    <w:rsid w:val="00D30DD7"/>
    <w:rsid w:val="00D440A0"/>
    <w:rsid w:val="00D923F3"/>
    <w:rsid w:val="00DA1049"/>
    <w:rsid w:val="00DA613A"/>
    <w:rsid w:val="00DA774A"/>
    <w:rsid w:val="00E15AC4"/>
    <w:rsid w:val="00E34B86"/>
    <w:rsid w:val="00E47DC0"/>
    <w:rsid w:val="00E761A6"/>
    <w:rsid w:val="00EA4DB3"/>
    <w:rsid w:val="00ED1BFF"/>
    <w:rsid w:val="00EF4D57"/>
    <w:rsid w:val="00F27A5E"/>
    <w:rsid w:val="00F50D9B"/>
    <w:rsid w:val="00FD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7E7D"/>
  <w15:chartTrackingRefBased/>
  <w15:docId w15:val="{C567764B-9F66-496C-B06A-BE61312C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3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66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9D1"/>
    <w:pPr>
      <w:ind w:left="720"/>
      <w:contextualSpacing/>
    </w:pPr>
  </w:style>
  <w:style w:type="character" w:styleId="PlaceholderText">
    <w:name w:val="Placeholder Text"/>
    <w:basedOn w:val="DefaultParagraphFont"/>
    <w:uiPriority w:val="99"/>
    <w:semiHidden/>
    <w:rsid w:val="007E59D1"/>
    <w:rPr>
      <w:color w:val="808080"/>
    </w:rPr>
  </w:style>
  <w:style w:type="paragraph" w:styleId="Title">
    <w:name w:val="Title"/>
    <w:basedOn w:val="Normal"/>
    <w:next w:val="Normal"/>
    <w:link w:val="TitleChar"/>
    <w:uiPriority w:val="10"/>
    <w:qFormat/>
    <w:rsid w:val="007E13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38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E138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32E47"/>
    <w:rPr>
      <w:color w:val="0000FF"/>
      <w:u w:val="single"/>
    </w:rPr>
  </w:style>
  <w:style w:type="paragraph" w:styleId="Header">
    <w:name w:val="header"/>
    <w:basedOn w:val="Normal"/>
    <w:link w:val="HeaderChar"/>
    <w:uiPriority w:val="99"/>
    <w:unhideWhenUsed/>
    <w:rsid w:val="006E7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780"/>
  </w:style>
  <w:style w:type="paragraph" w:styleId="Footer">
    <w:name w:val="footer"/>
    <w:basedOn w:val="Normal"/>
    <w:link w:val="FooterChar"/>
    <w:uiPriority w:val="99"/>
    <w:unhideWhenUsed/>
    <w:rsid w:val="006E7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780"/>
  </w:style>
  <w:style w:type="paragraph" w:styleId="FootnoteText">
    <w:name w:val="footnote text"/>
    <w:basedOn w:val="Normal"/>
    <w:link w:val="FootnoteTextChar"/>
    <w:uiPriority w:val="99"/>
    <w:semiHidden/>
    <w:unhideWhenUsed/>
    <w:rsid w:val="00DA77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74A"/>
    <w:rPr>
      <w:sz w:val="20"/>
      <w:szCs w:val="20"/>
    </w:rPr>
  </w:style>
  <w:style w:type="character" w:styleId="FootnoteReference">
    <w:name w:val="footnote reference"/>
    <w:basedOn w:val="DefaultParagraphFont"/>
    <w:uiPriority w:val="99"/>
    <w:semiHidden/>
    <w:unhideWhenUsed/>
    <w:rsid w:val="00DA774A"/>
    <w:rPr>
      <w:vertAlign w:val="superscript"/>
    </w:rPr>
  </w:style>
  <w:style w:type="character" w:customStyle="1" w:styleId="Heading2Char">
    <w:name w:val="Heading 2 Char"/>
    <w:basedOn w:val="DefaultParagraphFont"/>
    <w:link w:val="Heading2"/>
    <w:uiPriority w:val="9"/>
    <w:rsid w:val="00A266D4"/>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551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mikelodder7/accumulator-rs" TargetMode="External"/><Relationship Id="rId3" Type="http://schemas.openxmlformats.org/officeDocument/2006/relationships/settings" Target="settings.xml"/><Relationship Id="rId7" Type="http://schemas.openxmlformats.org/officeDocument/2006/relationships/hyperlink" Target="https://github.com/sfackler/rust-openss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akonst.com/deep-dive-rsa-accumul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2379</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Greef</dc:creator>
  <cp:keywords/>
  <dc:description/>
  <cp:lastModifiedBy>Arthur Greef</cp:lastModifiedBy>
  <cp:revision>16</cp:revision>
  <dcterms:created xsi:type="dcterms:W3CDTF">2021-04-09T01:38:00Z</dcterms:created>
  <dcterms:modified xsi:type="dcterms:W3CDTF">2021-04-17T17:57:00Z</dcterms:modified>
</cp:coreProperties>
</file>