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E17FD" w14:textId="05484442" w:rsidR="00BD039F" w:rsidRDefault="00BD039F" w:rsidP="00BD039F">
      <w:r>
        <w:t>Further Reading</w:t>
      </w:r>
    </w:p>
    <w:p w14:paraId="66A79DDF" w14:textId="2F256951" w:rsidR="00BD039F" w:rsidRDefault="00BD039F" w:rsidP="00BD039F">
      <w:r>
        <w:t xml:space="preserve">Graham, P. M. (2012). Reassessment of the </w:t>
      </w:r>
      <w:proofErr w:type="spellStart"/>
      <w:r>
        <w:t>miniSASS</w:t>
      </w:r>
      <w:proofErr w:type="spellEnd"/>
      <w:r>
        <w:t xml:space="preserve"> biomonitoring tools as a resource for environmental education in the river health programme and cross-linking to with the National Curriculum Statement. Water Research Commission (WRC) Report No. KV 240/12. Pretoria, South Africa, p. 123. Available at </w:t>
      </w:r>
      <w:hyperlink r:id="rId6" w:history="1">
        <w:r w:rsidRPr="00A30B1A">
          <w:rPr>
            <w:rStyle w:val="Hyperlink"/>
          </w:rPr>
          <w:t>https://www.wrc.org.za/wp-content/uploads/mdocs/KV%20240%20web.pdf</w:t>
        </w:r>
      </w:hyperlink>
      <w:r>
        <w:t xml:space="preserve"> </w:t>
      </w:r>
    </w:p>
    <w:p w14:paraId="4760739D" w14:textId="4AF4B707" w:rsidR="00BD039F" w:rsidRDefault="00BD039F" w:rsidP="00BD039F">
      <w:r>
        <w:t xml:space="preserve">Graham, P. M., Burton, S., &amp; </w:t>
      </w:r>
      <w:proofErr w:type="spellStart"/>
      <w:r>
        <w:t>Gibixego</w:t>
      </w:r>
      <w:proofErr w:type="spellEnd"/>
      <w:r>
        <w:t xml:space="preserve">, A. (2015). </w:t>
      </w:r>
      <w:proofErr w:type="spellStart"/>
      <w:r>
        <w:t>miniSASS</w:t>
      </w:r>
      <w:proofErr w:type="spellEnd"/>
      <w:r>
        <w:t xml:space="preserve"> Data Management: Development of an online map-based data portal. Water Research Commission (WRC) Report No. TT 639/15. Pretoria, South Africa, p. 25. Available at </w:t>
      </w:r>
      <w:hyperlink r:id="rId7" w:history="1">
        <w:r w:rsidRPr="00A30B1A">
          <w:rPr>
            <w:rStyle w:val="Hyperlink"/>
          </w:rPr>
          <w:t>https://www.wrc.org.za/wp-content/uploads/mdocs/TT%20639-15.pdf</w:t>
        </w:r>
      </w:hyperlink>
      <w:r>
        <w:t xml:space="preserve"> </w:t>
      </w:r>
    </w:p>
    <w:p w14:paraId="5A4034B0" w14:textId="47020A2F" w:rsidR="00BD039F" w:rsidRDefault="00BD039F" w:rsidP="00BD039F">
      <w:r>
        <w:t xml:space="preserve">Graham, P. M., Dickens, C. W. S., &amp; Taylor, J. (2004). </w:t>
      </w:r>
      <w:proofErr w:type="spellStart"/>
      <w:r>
        <w:t>miniSASS</w:t>
      </w:r>
      <w:proofErr w:type="spellEnd"/>
      <w:r>
        <w:t xml:space="preserve">—A novel technique for community participation in river health monitoring and management. African Journal of Aquatic Science, 29(1), 25–35. </w:t>
      </w:r>
      <w:hyperlink r:id="rId8" w:history="1">
        <w:r w:rsidRPr="00A30B1A">
          <w:rPr>
            <w:rStyle w:val="Hyperlink"/>
          </w:rPr>
          <w:t>https://doi.org/10.2989/16085910409503789</w:t>
        </w:r>
      </w:hyperlink>
      <w:r>
        <w:t xml:space="preserve"> </w:t>
      </w:r>
    </w:p>
    <w:p w14:paraId="0AB9479C" w14:textId="27D4597A" w:rsidR="00BD039F" w:rsidRDefault="00BD039F" w:rsidP="00BD039F">
      <w:r>
        <w:t xml:space="preserve">Graham, P. M., &amp; Taylor, J. (2018). Development of citizen science water resource monitoring tools and communities of practice for South Africa, Africa and the world (P. M. Graham &amp; J. Taylor, Eds.). Water Research Commission (WRC) Report No. TT 763/18. Pretoria, South Africa, p. 142. Available at </w:t>
      </w:r>
      <w:hyperlink r:id="rId9" w:history="1">
        <w:r w:rsidRPr="00A30B1A">
          <w:rPr>
            <w:rStyle w:val="Hyperlink"/>
          </w:rPr>
          <w:t>https://www.wrc.org.za/wp-content/uploads/mdocs/TT%20763%20web.pdf</w:t>
        </w:r>
      </w:hyperlink>
      <w:r>
        <w:t xml:space="preserve"> </w:t>
      </w:r>
      <w:r>
        <w:t xml:space="preserve"> </w:t>
      </w:r>
    </w:p>
    <w:p w14:paraId="00FCF482" w14:textId="4B8E8024" w:rsidR="00BD039F" w:rsidRDefault="00BD039F" w:rsidP="00BD039F">
      <w:r>
        <w:t xml:space="preserve">Koen, R. C. J., &amp; Koen, F. J. (2023). Aquatic macroinvertebrate image dataset. Harvard Dataverse. </w:t>
      </w:r>
      <w:hyperlink r:id="rId10" w:history="1">
        <w:r w:rsidRPr="00A30B1A">
          <w:rPr>
            <w:rStyle w:val="Hyperlink"/>
          </w:rPr>
          <w:t>https://doi.org/10.7910/DVN/1QQPJ5</w:t>
        </w:r>
      </w:hyperlink>
      <w:r>
        <w:t xml:space="preserve"> </w:t>
      </w:r>
    </w:p>
    <w:p w14:paraId="033CC19F" w14:textId="4E3DEDB5" w:rsidR="00BD039F" w:rsidRDefault="00BD039F" w:rsidP="00BD039F">
      <w:r>
        <w:t xml:space="preserve">Koen, R. C. J., Koen, F. J., Pattinson, N. B., Dickens, C. W. S., &amp; Graham, P. M. (2023). Digitally improving the identification of aquatic macroinvertebrates for indices used in biomonitoring. International Water Management Institute (IWMI). CGIAR Initiative on Digital Innovation. Colombo, Sri Lanka, p. 10. Available at </w:t>
      </w:r>
      <w:hyperlink r:id="rId11" w:history="1">
        <w:r w:rsidRPr="00A30B1A">
          <w:rPr>
            <w:rStyle w:val="Hyperlink"/>
          </w:rPr>
          <w:t>https://hdl.handle.net/10568/138246</w:t>
        </w:r>
      </w:hyperlink>
      <w:r>
        <w:t xml:space="preserve"> </w:t>
      </w:r>
    </w:p>
    <w:p w14:paraId="49BA9CA1" w14:textId="3F269B73" w:rsidR="00BD039F" w:rsidRDefault="00BD039F" w:rsidP="00BD039F">
      <w:r>
        <w:t xml:space="preserve">Pattinson, N. B., Koen, R. C. J., &amp; Koen, F. J. (2022). Artificial intelligence-based biomonitoring of water quality. International Water Management Institute (IWMI). CGIAR Initiative on Digital Innovation. Colombo, Sri Lanka, p. 32. Available at </w:t>
      </w:r>
      <w:hyperlink r:id="rId12" w:history="1">
        <w:r w:rsidRPr="00A30B1A">
          <w:rPr>
            <w:rStyle w:val="Hyperlink"/>
          </w:rPr>
          <w:t>https://hdl.handle.net/10568/128025</w:t>
        </w:r>
      </w:hyperlink>
      <w:r>
        <w:t xml:space="preserve"> </w:t>
      </w:r>
    </w:p>
    <w:p w14:paraId="02CA6561" w14:textId="13F1B676" w:rsidR="00BD039F" w:rsidRDefault="00BD039F" w:rsidP="00BD039F">
      <w:r>
        <w:t xml:space="preserve">Pattinson, N. B., Russell, C., Taylor, J., Dickens, C. W. S., Koen, R. C. J., Koen, F. J., &amp; Graham, P. M. (2023). Digital innovation with </w:t>
      </w:r>
      <w:proofErr w:type="spellStart"/>
      <w:r>
        <w:t>miniSASS</w:t>
      </w:r>
      <w:proofErr w:type="spellEnd"/>
      <w:r>
        <w:t xml:space="preserve">, a citizen science biomonitoring tool. International Water Management Institute (IWMI). CGIAR Initiative on Digital Innovation. Colombo, Sri Lanka, p. 11. Available at </w:t>
      </w:r>
      <w:hyperlink r:id="rId13" w:history="1">
        <w:r w:rsidRPr="00A30B1A">
          <w:rPr>
            <w:rStyle w:val="Hyperlink"/>
          </w:rPr>
          <w:t>https://hdl.handle.net/10568/134498</w:t>
        </w:r>
      </w:hyperlink>
      <w:r>
        <w:t xml:space="preserve"> </w:t>
      </w:r>
    </w:p>
    <w:p w14:paraId="299FEE9D" w14:textId="30BE4815" w:rsidR="00BD039F" w:rsidRDefault="00BD039F" w:rsidP="00BD039F">
      <w:r>
        <w:t xml:space="preserve">Pattinson, N. B., Taylor, J., Dickens, C. W. S., &amp; Graham, P. M. (2023). Digital innovation in citizen science water quality monitoring in developing countries. International Water Management Institute (IWMI). CGIAR Initiative on Digital Innovation. Colombo, Sri Lanka, p. 52. </w:t>
      </w:r>
      <w:hyperlink r:id="rId14" w:history="1">
        <w:r w:rsidRPr="00A30B1A">
          <w:rPr>
            <w:rStyle w:val="Hyperlink"/>
          </w:rPr>
          <w:t>https://doi.org/10.5337/2024.201</w:t>
        </w:r>
      </w:hyperlink>
      <w:r>
        <w:t xml:space="preserve"> </w:t>
      </w:r>
    </w:p>
    <w:p w14:paraId="3CE516F6" w14:textId="4952E31A" w:rsidR="00BD039F" w:rsidRDefault="00BD039F" w:rsidP="00BD039F">
      <w:r>
        <w:t xml:space="preserve">Russell, C., Sithole, N. S. Z., Tshabalala, G., Kotze, D., &amp; Taylor, J. (2024). Citizen science online training and learning system. Water Research Commission (WRC) Report No. TT 933/23. Pretoria, South Africa, p. 136. Available at </w:t>
      </w:r>
      <w:hyperlink r:id="rId15" w:history="1">
        <w:r w:rsidRPr="00A30B1A">
          <w:rPr>
            <w:rStyle w:val="Hyperlink"/>
          </w:rPr>
          <w:t>https://www.wrc.org.za/wp-content/uploads/mdocs/TT%20933%20final%20web.pdf</w:t>
        </w:r>
      </w:hyperlink>
      <w:r>
        <w:t xml:space="preserve"> </w:t>
      </w:r>
    </w:p>
    <w:p w14:paraId="3BAEBC8D" w14:textId="77777777" w:rsidR="00BD039F" w:rsidRDefault="00BD039F" w:rsidP="00BD039F">
      <w:r>
        <w:t xml:space="preserve">Taylor, J., Graham, P. M., Louw, A. J., </w:t>
      </w:r>
      <w:proofErr w:type="spellStart"/>
      <w:r>
        <w:t>Lepheana</w:t>
      </w:r>
      <w:proofErr w:type="spellEnd"/>
      <w:r>
        <w:t xml:space="preserve">, A. T., Madikizela, B., Dickens, C. W. S., Chapman, D. V, &amp; Warner, S. (2022). Social change innovations, citizen science, </w:t>
      </w:r>
      <w:proofErr w:type="spellStart"/>
      <w:r>
        <w:t>miniSASS</w:t>
      </w:r>
      <w:proofErr w:type="spellEnd"/>
      <w:r>
        <w:t xml:space="preserve"> and the SDGs. Water Policy, 24(5), 708–717. https://doi.org/10.2166/wp.2021.264 </w:t>
      </w:r>
    </w:p>
    <w:p w14:paraId="39843741" w14:textId="77070882" w:rsidR="00BD039F" w:rsidRDefault="00BD039F" w:rsidP="00BD039F">
      <w:proofErr w:type="spellStart"/>
      <w:r>
        <w:lastRenderedPageBreak/>
        <w:t>Tengö</w:t>
      </w:r>
      <w:proofErr w:type="spellEnd"/>
      <w:r>
        <w:t>, M., Austin, B. J., Danielsen, F., &amp; Fernández-</w:t>
      </w:r>
      <w:proofErr w:type="spellStart"/>
      <w:r>
        <w:t>Llamazares</w:t>
      </w:r>
      <w:proofErr w:type="spellEnd"/>
      <w:r>
        <w:t xml:space="preserve">, Á. (2021). Creating synergies between citizen science and Indigenous and local knowledge. </w:t>
      </w:r>
      <w:proofErr w:type="spellStart"/>
      <w:r>
        <w:t>BioScience</w:t>
      </w:r>
      <w:proofErr w:type="spellEnd"/>
      <w:r>
        <w:t xml:space="preserve">, 71(5), 503–518. </w:t>
      </w:r>
      <w:hyperlink r:id="rId16" w:history="1">
        <w:r w:rsidRPr="00A30B1A">
          <w:rPr>
            <w:rStyle w:val="Hyperlink"/>
          </w:rPr>
          <w:t>https://doi.org/10.1093/biosci/biab023</w:t>
        </w:r>
      </w:hyperlink>
      <w:r>
        <w:t xml:space="preserve"> </w:t>
      </w:r>
    </w:p>
    <w:p w14:paraId="7A67D79B" w14:textId="0BDF3431" w:rsidR="00BD039F" w:rsidRDefault="00BD039F">
      <w:r w:rsidRPr="00BD039F">
        <w:t>UNEP. (2021). Progress on ambient water quality. Tracking SDG 6 series: Global indicator 6.3.2 updates and acceleration needs.</w:t>
      </w:r>
      <w:r>
        <w:t xml:space="preserve"> See page 16: “</w:t>
      </w:r>
      <w:r w:rsidRPr="00BD039F">
        <w:t>FOCUS BOX 2. MINISASS – CITIZEN BIOMONITORING FOR INDICATOR 6.3.2</w:t>
      </w:r>
      <w:r>
        <w:t xml:space="preserve">”. </w:t>
      </w:r>
      <w:r>
        <w:t xml:space="preserve">Available at </w:t>
      </w:r>
      <w:hyperlink r:id="rId17" w:history="1">
        <w:r w:rsidRPr="00A30B1A">
          <w:rPr>
            <w:rStyle w:val="Hyperlink"/>
          </w:rPr>
          <w:t>https://www.unwater.org/sites/default/files/app/uploads/2021/09/SDG6_Indicator_Report_632_Progress-on-Ambient-Water-Quality_2021_EN.pdf</w:t>
        </w:r>
      </w:hyperlink>
    </w:p>
    <w:sectPr w:rsidR="00BD0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A69D0"/>
    <w:multiLevelType w:val="multilevel"/>
    <w:tmpl w:val="3FBED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127AE7"/>
    <w:multiLevelType w:val="multilevel"/>
    <w:tmpl w:val="CFB25BE0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0" w:firstLine="0"/>
      </w:pPr>
      <w:rPr>
        <w:rFonts w:ascii="Century Gothic" w:hAnsi="Century Gothic" w:hint="default"/>
        <w:b/>
        <w:i/>
        <w:color w:val="0A2F41" w:themeColor="accent1" w:themeShade="80"/>
        <w:sz w:val="28"/>
        <w:u w:val="none" w:color="0A2F41" w:themeColor="accent1" w:themeShade="8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0" w:firstLine="0"/>
      </w:pPr>
      <w:rPr>
        <w:rFonts w:ascii="Century Gothic" w:hAnsi="Century Gothic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85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19"/>
        </w:tabs>
        <w:ind w:left="226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86"/>
        </w:tabs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3402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820"/>
        </w:tabs>
        <w:ind w:left="3969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387"/>
        </w:tabs>
        <w:ind w:left="4536" w:firstLine="0"/>
      </w:pPr>
      <w:rPr>
        <w:rFonts w:hint="default"/>
      </w:rPr>
    </w:lvl>
  </w:abstractNum>
  <w:abstractNum w:abstractNumId="2" w15:restartNumberingAfterBreak="0">
    <w:nsid w:val="492E2CE2"/>
    <w:multiLevelType w:val="hybridMultilevel"/>
    <w:tmpl w:val="9DC87788"/>
    <w:lvl w:ilvl="0" w:tplc="9E268920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510214">
    <w:abstractNumId w:val="2"/>
  </w:num>
  <w:num w:numId="2" w16cid:durableId="14118039">
    <w:abstractNumId w:val="0"/>
  </w:num>
  <w:num w:numId="3" w16cid:durableId="1781681283">
    <w:abstractNumId w:val="1"/>
  </w:num>
  <w:num w:numId="4" w16cid:durableId="1123618076">
    <w:abstractNumId w:val="1"/>
  </w:num>
  <w:num w:numId="5" w16cid:durableId="1680546213">
    <w:abstractNumId w:val="1"/>
  </w:num>
  <w:num w:numId="6" w16cid:durableId="998310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9F"/>
    <w:rsid w:val="002477B0"/>
    <w:rsid w:val="002D4E30"/>
    <w:rsid w:val="004D4F44"/>
    <w:rsid w:val="00566A5B"/>
    <w:rsid w:val="00660F7D"/>
    <w:rsid w:val="006E7779"/>
    <w:rsid w:val="007C3A3D"/>
    <w:rsid w:val="00B61DD1"/>
    <w:rsid w:val="00BC1BF6"/>
    <w:rsid w:val="00BD039F"/>
    <w:rsid w:val="00C11875"/>
    <w:rsid w:val="00C55B93"/>
    <w:rsid w:val="00C76461"/>
    <w:rsid w:val="00CD7B5F"/>
    <w:rsid w:val="00DD02C2"/>
    <w:rsid w:val="00E40D81"/>
    <w:rsid w:val="00F36341"/>
    <w:rsid w:val="00F3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86195F"/>
  <w15:chartTrackingRefBased/>
  <w15:docId w15:val="{59E6675D-04A2-4103-BB1F-B74FB8BE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0F7D"/>
    <w:pPr>
      <w:keepNext/>
      <w:keepLines/>
      <w:numPr>
        <w:numId w:val="6"/>
      </w:numPr>
      <w:spacing w:before="240" w:after="0"/>
      <w:outlineLvl w:val="0"/>
    </w:pPr>
    <w:rPr>
      <w:rFonts w:ascii="Century Gothic" w:eastAsiaTheme="majorEastAsia" w:hAnsi="Century Gothic" w:cstheme="majorBidi"/>
      <w:b/>
      <w:i/>
      <w:color w:val="002060"/>
      <w:sz w:val="32"/>
      <w:szCs w:val="32"/>
      <w:u w:val="single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60F7D"/>
    <w:pPr>
      <w:numPr>
        <w:ilvl w:val="1"/>
        <w:numId w:val="5"/>
      </w:numPr>
      <w:spacing w:before="40"/>
      <w:outlineLvl w:val="1"/>
    </w:pPr>
    <w:rPr>
      <w:i w:val="0"/>
      <w:color w:val="auto"/>
      <w:sz w:val="24"/>
      <w:szCs w:val="26"/>
      <w:u w:val="none"/>
    </w:rPr>
  </w:style>
  <w:style w:type="paragraph" w:styleId="Heading3">
    <w:name w:val="heading 3"/>
    <w:basedOn w:val="Heading2"/>
    <w:next w:val="Normal"/>
    <w:link w:val="Heading3Char"/>
    <w:autoRedefine/>
    <w:uiPriority w:val="9"/>
    <w:semiHidden/>
    <w:unhideWhenUsed/>
    <w:qFormat/>
    <w:rsid w:val="00660F7D"/>
    <w:pPr>
      <w:numPr>
        <w:ilvl w:val="2"/>
        <w:numId w:val="6"/>
      </w:numPr>
      <w:outlineLvl w:val="2"/>
    </w:pPr>
    <w:rPr>
      <w:rFonts w:asciiTheme="majorHAnsi" w:hAnsiTheme="majorHAnsi"/>
      <w:b w:val="0"/>
      <w:color w:val="0A2F40" w:themeColor="accent1" w:themeShade="7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F7D"/>
    <w:rPr>
      <w:rFonts w:ascii="Century Gothic" w:eastAsiaTheme="majorEastAsia" w:hAnsi="Century Gothic" w:cstheme="majorBidi"/>
      <w:b/>
      <w:i/>
      <w:color w:val="002060"/>
      <w:sz w:val="32"/>
      <w:szCs w:val="32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60F7D"/>
    <w:rPr>
      <w:rFonts w:ascii="Century Gothic" w:eastAsiaTheme="majorEastAsia" w:hAnsi="Century Gothic" w:cstheme="majorBidi"/>
      <w:b/>
      <w:sz w:val="24"/>
      <w:szCs w:val="26"/>
      <w:lang w:val="en-US"/>
    </w:rPr>
  </w:style>
  <w:style w:type="paragraph" w:styleId="TOC4">
    <w:name w:val="toc 4"/>
    <w:basedOn w:val="Normal"/>
    <w:next w:val="Normal"/>
    <w:autoRedefine/>
    <w:uiPriority w:val="39"/>
    <w:rsid w:val="00F37463"/>
    <w:pPr>
      <w:tabs>
        <w:tab w:val="right" w:leader="dot" w:pos="8817"/>
        <w:tab w:val="right" w:leader="dot" w:pos="8930"/>
      </w:tabs>
      <w:spacing w:before="120" w:after="120" w:line="240" w:lineRule="auto"/>
      <w:ind w:left="851" w:right="567" w:hanging="851"/>
      <w:jc w:val="both"/>
    </w:pPr>
    <w:rPr>
      <w:rFonts w:eastAsia="Times New Roman" w:cs="Times New Roman"/>
      <w:noProof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F7D"/>
    <w:rPr>
      <w:rFonts w:asciiTheme="majorHAnsi" w:eastAsiaTheme="majorEastAsia" w:hAnsiTheme="majorHAnsi" w:cstheme="majorBidi"/>
      <w:color w:val="0A2F40" w:themeColor="accent1" w:themeShade="7F"/>
      <w:szCs w:val="24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DD1"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color w:val="002060"/>
      <w:spacing w:val="-10"/>
      <w:kern w:val="28"/>
      <w:sz w:val="56"/>
      <w:szCs w:val="56"/>
      <w:u w:val="thick" w:color="002060"/>
    </w:rPr>
  </w:style>
  <w:style w:type="character" w:customStyle="1" w:styleId="TitleChar">
    <w:name w:val="Title Char"/>
    <w:basedOn w:val="DefaultParagraphFont"/>
    <w:link w:val="Title"/>
    <w:uiPriority w:val="10"/>
    <w:rsid w:val="00B61DD1"/>
    <w:rPr>
      <w:rFonts w:asciiTheme="majorHAnsi" w:eastAsiaTheme="majorEastAsia" w:hAnsiTheme="majorHAnsi" w:cstheme="majorBidi"/>
      <w:b/>
      <w:caps/>
      <w:color w:val="002060"/>
      <w:spacing w:val="-10"/>
      <w:kern w:val="28"/>
      <w:sz w:val="56"/>
      <w:szCs w:val="56"/>
      <w:u w:val="thick" w:color="00206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39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39F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39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39F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39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39F"/>
    <w:rPr>
      <w:rFonts w:eastAsiaTheme="majorEastAsia" w:cstheme="majorBidi"/>
      <w:color w:val="272727" w:themeColor="text1" w:themeTint="D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39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D0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39F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D03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3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39F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D039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D039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D03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1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89/16085910409503789" TargetMode="External"/><Relationship Id="rId13" Type="http://schemas.openxmlformats.org/officeDocument/2006/relationships/hyperlink" Target="https://hdl.handle.net/10568/13449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rc.org.za/wp-content/uploads/mdocs/TT%20639-15.pdf" TargetMode="External"/><Relationship Id="rId12" Type="http://schemas.openxmlformats.org/officeDocument/2006/relationships/hyperlink" Target="https://hdl.handle.net/10568/128025" TargetMode="External"/><Relationship Id="rId17" Type="http://schemas.openxmlformats.org/officeDocument/2006/relationships/hyperlink" Target="https://www.unwater.org/sites/default/files/app/uploads/2021/09/SDG6_Indicator_Report_632_Progress-on-Ambient-Water-Quality_2021_E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93/biosci/biab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wrc.org.za/wp-content/uploads/mdocs/KV%20240%20web.pdf" TargetMode="External"/><Relationship Id="rId11" Type="http://schemas.openxmlformats.org/officeDocument/2006/relationships/hyperlink" Target="https://hdl.handle.net/10568/1382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rc.org.za/wp-content/uploads/mdocs/TT%20933%20final%20web.pdf" TargetMode="External"/><Relationship Id="rId10" Type="http://schemas.openxmlformats.org/officeDocument/2006/relationships/hyperlink" Target="https://doi.org/10.7910/DVN/1QQPJ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rc.org.za/wp-content/uploads/mdocs/TT%20763%20web.pdf" TargetMode="External"/><Relationship Id="rId14" Type="http://schemas.openxmlformats.org/officeDocument/2006/relationships/hyperlink" Target="https://doi.org/10.5337/2024.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A4A295-ED5F-48A8-99EA-CA17B528F167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D79B5-4858-452A-A160-09FA006A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Pattinson</dc:creator>
  <cp:keywords/>
  <dc:description/>
  <cp:lastModifiedBy>Nicholas Pattinson</cp:lastModifiedBy>
  <cp:revision>1</cp:revision>
  <dcterms:created xsi:type="dcterms:W3CDTF">2024-09-26T11:51:00Z</dcterms:created>
  <dcterms:modified xsi:type="dcterms:W3CDTF">2024-09-26T11:59:00Z</dcterms:modified>
</cp:coreProperties>
</file>